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ED13" w14:textId="2F563511" w:rsidR="00E97E74" w:rsidRPr="00CD04B1" w:rsidRDefault="00E97E74" w:rsidP="00D2152D">
      <w:pPr>
        <w:pStyle w:val="BodyCopy"/>
        <w:widowControl w:val="0"/>
        <w:jc w:val="both"/>
        <w:rPr>
          <w:rFonts w:ascii="Cambria" w:hAnsi="Cambria"/>
          <w:color w:val="2F5496" w:themeColor="accent1" w:themeShade="BF"/>
          <w:sz w:val="24"/>
          <w:szCs w:val="24"/>
          <w:lang w:val="en-US"/>
          <w14:ligatures w14:val="none"/>
        </w:rPr>
      </w:pPr>
      <w:r w:rsidRPr="003C2D52">
        <w:rPr>
          <w:rFonts w:ascii="Cambria" w:hAnsi="Cambria"/>
          <w:color w:val="2F5496" w:themeColor="accent1" w:themeShade="BF"/>
          <w:sz w:val="32"/>
          <w:szCs w:val="32"/>
          <w:lang w:val="en-US"/>
          <w14:ligatures w14:val="none"/>
        </w:rPr>
        <w:t>Bioethics</w:t>
      </w:r>
      <w:r w:rsidR="003C2D52" w:rsidRPr="003C2D52">
        <w:rPr>
          <w:rFonts w:ascii="Cambria" w:hAnsi="Cambria"/>
          <w:color w:val="2F5496" w:themeColor="accent1" w:themeShade="BF"/>
          <w:sz w:val="32"/>
          <w:szCs w:val="32"/>
          <w:lang w:val="en-US"/>
          <w14:ligatures w14:val="none"/>
        </w:rPr>
        <w:t>:</w:t>
      </w:r>
      <w:r w:rsidR="003C2D52">
        <w:rPr>
          <w:rFonts w:ascii="Cambria" w:hAnsi="Cambria"/>
          <w:b/>
          <w:bCs/>
          <w:color w:val="2F5496" w:themeColor="accent1" w:themeShade="BF"/>
          <w:sz w:val="32"/>
          <w:szCs w:val="32"/>
          <w:lang w:val="en-US"/>
          <w14:ligatures w14:val="none"/>
        </w:rPr>
        <w:t xml:space="preserve"> </w:t>
      </w:r>
      <w:r w:rsidRPr="003C2D52">
        <w:rPr>
          <w:rFonts w:ascii="Cambria" w:hAnsi="Cambria"/>
          <w:color w:val="2F5496" w:themeColor="accent1" w:themeShade="BF"/>
          <w:sz w:val="32"/>
          <w:szCs w:val="32"/>
          <w:lang w:val="en-US"/>
          <w14:ligatures w14:val="none"/>
        </w:rPr>
        <w:t>Identity and Gender</w:t>
      </w:r>
      <w:r w:rsidR="00CD04B1">
        <w:rPr>
          <w:rFonts w:ascii="Cambria" w:hAnsi="Cambria"/>
          <w:color w:val="2F5496" w:themeColor="accent1" w:themeShade="BF"/>
          <w:sz w:val="32"/>
          <w:szCs w:val="32"/>
          <w:lang w:val="en-US"/>
          <w14:ligatures w14:val="none"/>
        </w:rPr>
        <w:t xml:space="preserve">       </w:t>
      </w:r>
      <w:r w:rsidR="00CD04B1" w:rsidRPr="00CD04B1">
        <w:rPr>
          <w:rFonts w:ascii="Cambria" w:hAnsi="Cambria"/>
          <w:color w:val="2F5496" w:themeColor="accent1" w:themeShade="BF"/>
          <w:sz w:val="24"/>
          <w:szCs w:val="24"/>
          <w:lang w:val="en-US"/>
          <w14:ligatures w14:val="none"/>
        </w:rPr>
        <w:t>Dr Deirdre Little</w:t>
      </w:r>
    </w:p>
    <w:p w14:paraId="21734F57" w14:textId="08C0376C" w:rsidR="00E04709" w:rsidRPr="009E06C2" w:rsidRDefault="00301824" w:rsidP="007A6617">
      <w:pPr>
        <w:jc w:val="both"/>
        <w:rPr>
          <w:lang w:val="en-US"/>
        </w:rPr>
      </w:pPr>
      <w:r w:rsidRPr="009E06C2">
        <w:rPr>
          <w:lang w:val="en-US"/>
        </w:rPr>
        <w:t xml:space="preserve">In a ‘true culture of social tenderness’ both Pope Francis and </w:t>
      </w:r>
      <w:r w:rsidR="00E04709" w:rsidRPr="009E06C2">
        <w:rPr>
          <w:lang w:val="en-US"/>
        </w:rPr>
        <w:t xml:space="preserve">the Bishops of Australia </w:t>
      </w:r>
      <w:r w:rsidRPr="009E06C2">
        <w:rPr>
          <w:lang w:val="en-US"/>
        </w:rPr>
        <w:t xml:space="preserve">have spoken </w:t>
      </w:r>
      <w:r w:rsidR="00B3620B" w:rsidRPr="009E06C2">
        <w:rPr>
          <w:lang w:val="en-US"/>
        </w:rPr>
        <w:t xml:space="preserve">out </w:t>
      </w:r>
      <w:r w:rsidRPr="009E06C2">
        <w:rPr>
          <w:lang w:val="en-US"/>
        </w:rPr>
        <w:t xml:space="preserve">on </w:t>
      </w:r>
      <w:r w:rsidR="00F73750" w:rsidRPr="009E06C2">
        <w:rPr>
          <w:lang w:val="en-US"/>
        </w:rPr>
        <w:t>Gender ideology</w:t>
      </w:r>
      <w:r w:rsidRPr="009E06C2">
        <w:rPr>
          <w:lang w:val="en-US"/>
        </w:rPr>
        <w:t xml:space="preserve">. </w:t>
      </w:r>
      <w:r w:rsidR="009E05AA" w:rsidRPr="009E06C2">
        <w:rPr>
          <w:lang w:val="en-US"/>
        </w:rPr>
        <w:t xml:space="preserve">It is not surprising that the </w:t>
      </w:r>
      <w:r w:rsidR="00B3620B" w:rsidRPr="009E06C2">
        <w:rPr>
          <w:lang w:val="en-US"/>
        </w:rPr>
        <w:t xml:space="preserve">Holy </w:t>
      </w:r>
      <w:r w:rsidR="009E05AA" w:rsidRPr="009E06C2">
        <w:rPr>
          <w:lang w:val="en-US"/>
        </w:rPr>
        <w:t xml:space="preserve">Spirit </w:t>
      </w:r>
      <w:r w:rsidR="00525273" w:rsidRPr="009E06C2">
        <w:rPr>
          <w:lang w:val="en-US"/>
        </w:rPr>
        <w:t xml:space="preserve">living in </w:t>
      </w:r>
      <w:r w:rsidR="00C3114B" w:rsidRPr="009E06C2">
        <w:rPr>
          <w:lang w:val="en-US"/>
        </w:rPr>
        <w:t xml:space="preserve">their teaching </w:t>
      </w:r>
      <w:r w:rsidR="007D2665" w:rsidRPr="009E06C2">
        <w:rPr>
          <w:lang w:val="en-US"/>
        </w:rPr>
        <w:t>reveal</w:t>
      </w:r>
      <w:r w:rsidR="00C868C5" w:rsidRPr="009E06C2">
        <w:rPr>
          <w:lang w:val="en-US"/>
        </w:rPr>
        <w:t xml:space="preserve">s </w:t>
      </w:r>
      <w:r w:rsidR="007D2665" w:rsidRPr="009E06C2">
        <w:rPr>
          <w:lang w:val="en-US"/>
        </w:rPr>
        <w:t xml:space="preserve">the same </w:t>
      </w:r>
      <w:r w:rsidR="00B3620B" w:rsidRPr="009E06C2">
        <w:rPr>
          <w:lang w:val="en-US"/>
        </w:rPr>
        <w:t xml:space="preserve">message </w:t>
      </w:r>
      <w:r w:rsidR="00C868C5" w:rsidRPr="009E06C2">
        <w:rPr>
          <w:lang w:val="en-US"/>
        </w:rPr>
        <w:t xml:space="preserve">of truth that </w:t>
      </w:r>
      <w:r w:rsidR="009C798A" w:rsidRPr="009E06C2">
        <w:rPr>
          <w:lang w:val="en-US"/>
        </w:rPr>
        <w:t xml:space="preserve">emerged </w:t>
      </w:r>
      <w:r w:rsidR="00CE75B6" w:rsidRPr="009E06C2">
        <w:rPr>
          <w:lang w:val="en-US"/>
        </w:rPr>
        <w:t xml:space="preserve">from </w:t>
      </w:r>
      <w:r w:rsidR="00C868C5" w:rsidRPr="009E06C2">
        <w:rPr>
          <w:lang w:val="en-US"/>
        </w:rPr>
        <w:t>the</w:t>
      </w:r>
      <w:r w:rsidR="00CE75B6" w:rsidRPr="009E06C2">
        <w:rPr>
          <w:lang w:val="en-US"/>
        </w:rPr>
        <w:t xml:space="preserve"> report on England’s only Gender Identity Development Service. </w:t>
      </w:r>
      <w:r w:rsidR="00B3620B" w:rsidRPr="009E06C2">
        <w:rPr>
          <w:lang w:val="en-US"/>
        </w:rPr>
        <w:t xml:space="preserve"> </w:t>
      </w:r>
      <w:r w:rsidR="00CE75B6" w:rsidRPr="009E06C2">
        <w:rPr>
          <w:lang w:val="en-US"/>
        </w:rPr>
        <w:t xml:space="preserve">In </w:t>
      </w:r>
      <w:r w:rsidR="009C798A" w:rsidRPr="009E06C2">
        <w:rPr>
          <w:lang w:val="en-US"/>
        </w:rPr>
        <w:t xml:space="preserve">Pope Francis’ </w:t>
      </w:r>
      <w:r w:rsidR="00404F09" w:rsidRPr="009E06C2">
        <w:rPr>
          <w:lang w:val="en-US"/>
        </w:rPr>
        <w:t>‘spirit of human fraternity’</w:t>
      </w:r>
      <w:r w:rsidR="00CE75B6" w:rsidRPr="009E06C2">
        <w:rPr>
          <w:lang w:val="en-US"/>
        </w:rPr>
        <w:t>, the</w:t>
      </w:r>
      <w:r w:rsidR="00EE360C" w:rsidRPr="009E06C2">
        <w:rPr>
          <w:lang w:val="en-US"/>
        </w:rPr>
        <w:t xml:space="preserve"> Care Quality Commission’s </w:t>
      </w:r>
      <w:r w:rsidR="00CE75B6" w:rsidRPr="009E06C2">
        <w:rPr>
          <w:lang w:val="en-US"/>
        </w:rPr>
        <w:t>review was</w:t>
      </w:r>
      <w:r w:rsidR="0097782D" w:rsidRPr="009E06C2">
        <w:rPr>
          <w:lang w:val="en-US"/>
        </w:rPr>
        <w:t xml:space="preserve"> </w:t>
      </w:r>
      <w:r w:rsidR="00701902" w:rsidRPr="009E06C2">
        <w:rPr>
          <w:lang w:val="en-US"/>
        </w:rPr>
        <w:t>rigorous</w:t>
      </w:r>
      <w:r w:rsidR="00CE75B6" w:rsidRPr="009E06C2">
        <w:rPr>
          <w:lang w:val="en-US"/>
        </w:rPr>
        <w:t xml:space="preserve">. </w:t>
      </w:r>
      <w:r w:rsidR="00EE360C" w:rsidRPr="009E06C2">
        <w:rPr>
          <w:lang w:val="en-US"/>
        </w:rPr>
        <w:t xml:space="preserve">Backed up by the subsequent independent interim report of </w:t>
      </w:r>
      <w:proofErr w:type="spellStart"/>
      <w:r w:rsidR="00EE360C" w:rsidRPr="009E06C2">
        <w:rPr>
          <w:lang w:val="en-US"/>
        </w:rPr>
        <w:t>paediatrician</w:t>
      </w:r>
      <w:proofErr w:type="spellEnd"/>
      <w:r w:rsidR="00EE360C" w:rsidRPr="009E06C2">
        <w:rPr>
          <w:lang w:val="en-US"/>
        </w:rPr>
        <w:t xml:space="preserve"> Hilary Cass, </w:t>
      </w:r>
      <w:r w:rsidR="009E2B56" w:rsidRPr="009E06C2">
        <w:rPr>
          <w:lang w:val="en-US"/>
        </w:rPr>
        <w:t xml:space="preserve">there was </w:t>
      </w:r>
      <w:r w:rsidR="00AC31AC" w:rsidRPr="009E06C2">
        <w:rPr>
          <w:lang w:val="en-US"/>
        </w:rPr>
        <w:t>recognition of poor science</w:t>
      </w:r>
      <w:r w:rsidR="009E2B56" w:rsidRPr="009E06C2">
        <w:rPr>
          <w:lang w:val="en-US"/>
        </w:rPr>
        <w:t xml:space="preserve">, of </w:t>
      </w:r>
      <w:r w:rsidR="007D2665" w:rsidRPr="009E06C2">
        <w:rPr>
          <w:lang w:val="en-US"/>
        </w:rPr>
        <w:t xml:space="preserve">inadequate care </w:t>
      </w:r>
      <w:r w:rsidR="00AC31AC" w:rsidRPr="009E06C2">
        <w:rPr>
          <w:lang w:val="en-US"/>
        </w:rPr>
        <w:t xml:space="preserve">and </w:t>
      </w:r>
      <w:r w:rsidR="009E2B56" w:rsidRPr="009E06C2">
        <w:rPr>
          <w:lang w:val="en-US"/>
        </w:rPr>
        <w:t xml:space="preserve">follow-up, and of a fundamental flaw in the self-diagnosing </w:t>
      </w:r>
      <w:r w:rsidR="00214D79">
        <w:rPr>
          <w:lang w:val="en-US"/>
        </w:rPr>
        <w:t>‘</w:t>
      </w:r>
      <w:r w:rsidR="009E2B56" w:rsidRPr="009E06C2">
        <w:rPr>
          <w:lang w:val="en-US"/>
        </w:rPr>
        <w:t>affirmation</w:t>
      </w:r>
      <w:r w:rsidR="00214D79">
        <w:rPr>
          <w:lang w:val="en-US"/>
        </w:rPr>
        <w:t>’</w:t>
      </w:r>
      <w:r w:rsidR="009E2B56" w:rsidRPr="009E06C2">
        <w:rPr>
          <w:lang w:val="en-US"/>
        </w:rPr>
        <w:t xml:space="preserve"> model of management. T</w:t>
      </w:r>
      <w:r w:rsidR="00AC31AC" w:rsidRPr="009E06C2">
        <w:rPr>
          <w:lang w:val="en-US"/>
        </w:rPr>
        <w:t xml:space="preserve">he </w:t>
      </w:r>
      <w:r w:rsidR="00E04709" w:rsidRPr="009E06C2">
        <w:rPr>
          <w:lang w:val="en-US"/>
        </w:rPr>
        <w:t>resultant outcome</w:t>
      </w:r>
      <w:r w:rsidR="008D73B4" w:rsidRPr="009E06C2">
        <w:rPr>
          <w:lang w:val="en-US"/>
        </w:rPr>
        <w:t xml:space="preserve"> </w:t>
      </w:r>
      <w:r w:rsidR="00290A0D" w:rsidRPr="009E06C2">
        <w:rPr>
          <w:lang w:val="en-US"/>
        </w:rPr>
        <w:t xml:space="preserve">has now </w:t>
      </w:r>
      <w:r w:rsidR="008D73B4" w:rsidRPr="009E06C2">
        <w:rPr>
          <w:lang w:val="en-US"/>
        </w:rPr>
        <w:t xml:space="preserve">upended the current treatment model. </w:t>
      </w:r>
      <w:proofErr w:type="gramStart"/>
      <w:r w:rsidR="00843656" w:rsidRPr="009E06C2">
        <w:rPr>
          <w:lang w:val="en-US"/>
        </w:rPr>
        <w:t>So..</w:t>
      </w:r>
      <w:proofErr w:type="gramEnd"/>
      <w:r w:rsidR="00843656" w:rsidRPr="009E06C2">
        <w:rPr>
          <w:lang w:val="en-US"/>
        </w:rPr>
        <w:t xml:space="preserve"> what has just happened?</w:t>
      </w:r>
      <w:r w:rsidR="00E04709" w:rsidRPr="009E06C2">
        <w:rPr>
          <w:lang w:val="en-US"/>
        </w:rPr>
        <w:t xml:space="preserve"> </w:t>
      </w:r>
    </w:p>
    <w:p w14:paraId="750CB7C2" w14:textId="3B08EF05" w:rsidR="00E86470" w:rsidRPr="009E06C2" w:rsidRDefault="009C798A" w:rsidP="007A6617">
      <w:pPr>
        <w:jc w:val="both"/>
        <w:rPr>
          <w:lang w:val="en-US"/>
        </w:rPr>
      </w:pPr>
      <w:r w:rsidRPr="009E06C2">
        <w:rPr>
          <w:lang w:val="en-US"/>
        </w:rPr>
        <w:t xml:space="preserve">Following the necessitated </w:t>
      </w:r>
      <w:r w:rsidR="00E86470" w:rsidRPr="009E06C2">
        <w:rPr>
          <w:lang w:val="en-US"/>
        </w:rPr>
        <w:t>closure of England’s</w:t>
      </w:r>
      <w:r w:rsidR="001B6AEF" w:rsidRPr="009E06C2">
        <w:rPr>
          <w:lang w:val="en-US"/>
        </w:rPr>
        <w:t xml:space="preserve"> </w:t>
      </w:r>
      <w:proofErr w:type="spellStart"/>
      <w:r w:rsidR="00E86470" w:rsidRPr="009E06C2">
        <w:rPr>
          <w:lang w:val="en-US"/>
        </w:rPr>
        <w:t>Tavistock</w:t>
      </w:r>
      <w:proofErr w:type="spellEnd"/>
      <w:r w:rsidR="00E86470" w:rsidRPr="009E06C2">
        <w:rPr>
          <w:lang w:val="en-US"/>
        </w:rPr>
        <w:t xml:space="preserve"> Gender Identity Service, the National Institute of Health in the UK has just announced a move away from the </w:t>
      </w:r>
      <w:r w:rsidR="00EB0D81" w:rsidRPr="009E06C2">
        <w:rPr>
          <w:lang w:val="en-US"/>
        </w:rPr>
        <w:t>‘affirmative’ model of care and away from giving children puberty-blocking drugs, to now advocating counselling. This is long-awaited news for many health professionals, especially in Australia</w:t>
      </w:r>
      <w:r w:rsidR="00147433" w:rsidRPr="009E06C2">
        <w:rPr>
          <w:lang w:val="en-US"/>
        </w:rPr>
        <w:t>,</w:t>
      </w:r>
      <w:r w:rsidR="00EB0D81" w:rsidRPr="009E06C2">
        <w:rPr>
          <w:lang w:val="en-US"/>
        </w:rPr>
        <w:t xml:space="preserve"> whe</w:t>
      </w:r>
      <w:r w:rsidR="00147433" w:rsidRPr="009E06C2">
        <w:rPr>
          <w:lang w:val="en-US"/>
        </w:rPr>
        <w:t>re</w:t>
      </w:r>
      <w:r w:rsidR="00EB0D81" w:rsidRPr="009E06C2">
        <w:rPr>
          <w:lang w:val="en-US"/>
        </w:rPr>
        <w:t xml:space="preserve"> such medical opinions </w:t>
      </w:r>
      <w:r w:rsidR="00147433" w:rsidRPr="009E06C2">
        <w:rPr>
          <w:lang w:val="en-US"/>
        </w:rPr>
        <w:t xml:space="preserve">and care have been condemned as conversion therapy. Not just condemned but </w:t>
      </w:r>
      <w:r w:rsidRPr="009E06C2">
        <w:rPr>
          <w:lang w:val="en-US"/>
        </w:rPr>
        <w:t>criminalized</w:t>
      </w:r>
      <w:r w:rsidR="00147433" w:rsidRPr="009E06C2">
        <w:rPr>
          <w:lang w:val="en-US"/>
        </w:rPr>
        <w:t xml:space="preserve">; </w:t>
      </w:r>
      <w:r w:rsidR="00376EE3" w:rsidRPr="009E06C2">
        <w:rPr>
          <w:lang w:val="en-US"/>
        </w:rPr>
        <w:t xml:space="preserve">and </w:t>
      </w:r>
      <w:r w:rsidR="00147433" w:rsidRPr="009E06C2">
        <w:rPr>
          <w:lang w:val="en-US"/>
        </w:rPr>
        <w:t xml:space="preserve">not just discouraged but </w:t>
      </w:r>
      <w:r w:rsidRPr="009E06C2">
        <w:rPr>
          <w:lang w:val="en-US"/>
        </w:rPr>
        <w:t xml:space="preserve">threatened with </w:t>
      </w:r>
      <w:r w:rsidR="00147433" w:rsidRPr="009E06C2">
        <w:rPr>
          <w:lang w:val="en-US"/>
        </w:rPr>
        <w:t>deregist</w:t>
      </w:r>
      <w:r w:rsidRPr="009E06C2">
        <w:rPr>
          <w:lang w:val="en-US"/>
        </w:rPr>
        <w:t>ration.</w:t>
      </w:r>
      <w:r w:rsidR="00147433" w:rsidRPr="009E06C2">
        <w:rPr>
          <w:lang w:val="en-US"/>
        </w:rPr>
        <w:t xml:space="preserve"> </w:t>
      </w:r>
      <w:r w:rsidR="00E86470" w:rsidRPr="009E06C2">
        <w:rPr>
          <w:lang w:val="en-US"/>
        </w:rPr>
        <w:t xml:space="preserve">  </w:t>
      </w:r>
    </w:p>
    <w:p w14:paraId="7F63AF88" w14:textId="35D8B978" w:rsidR="00E12CA5" w:rsidRPr="009E06C2" w:rsidRDefault="009C798A" w:rsidP="007A6617">
      <w:pPr>
        <w:jc w:val="both"/>
        <w:rPr>
          <w:lang w:val="en-US"/>
        </w:rPr>
      </w:pPr>
      <w:r w:rsidRPr="009E06C2">
        <w:rPr>
          <w:lang w:val="en-US"/>
        </w:rPr>
        <w:t xml:space="preserve">Both </w:t>
      </w:r>
      <w:r w:rsidR="00843656" w:rsidRPr="009E06C2">
        <w:rPr>
          <w:lang w:val="en-US"/>
        </w:rPr>
        <w:t>Pope Francis</w:t>
      </w:r>
      <w:r w:rsidR="00376EE3" w:rsidRPr="009E06C2">
        <w:rPr>
          <w:lang w:val="en-US"/>
        </w:rPr>
        <w:t>’</w:t>
      </w:r>
      <w:r w:rsidR="00843656" w:rsidRPr="009E06C2">
        <w:rPr>
          <w:lang w:val="en-US"/>
        </w:rPr>
        <w:t xml:space="preserve"> </w:t>
      </w:r>
      <w:r w:rsidRPr="009E06C2">
        <w:rPr>
          <w:lang w:val="en-US"/>
        </w:rPr>
        <w:t>i</w:t>
      </w:r>
      <w:r w:rsidR="00F73750" w:rsidRPr="009E06C2">
        <w:rPr>
          <w:lang w:val="en-US"/>
        </w:rPr>
        <w:t xml:space="preserve">n </w:t>
      </w:r>
      <w:proofErr w:type="spellStart"/>
      <w:r w:rsidR="00F73750" w:rsidRPr="009E06C2">
        <w:rPr>
          <w:lang w:val="en-US"/>
        </w:rPr>
        <w:t>Amoris</w:t>
      </w:r>
      <w:proofErr w:type="spellEnd"/>
      <w:r w:rsidR="00F73750" w:rsidRPr="009E06C2">
        <w:rPr>
          <w:lang w:val="en-US"/>
        </w:rPr>
        <w:t xml:space="preserve"> Laetitia</w:t>
      </w:r>
      <w:r w:rsidR="00FD3546" w:rsidRPr="009E06C2">
        <w:rPr>
          <w:lang w:val="en-US"/>
        </w:rPr>
        <w:t>,</w:t>
      </w:r>
      <w:r w:rsidR="00334D98" w:rsidRPr="009E06C2">
        <w:rPr>
          <w:rStyle w:val="FootnoteReference"/>
          <w:rFonts w:asciiTheme="minorHAnsi" w:hAnsiTheme="minorHAnsi" w:cstheme="minorHAnsi"/>
          <w:color w:val="auto"/>
          <w:sz w:val="22"/>
          <w:szCs w:val="22"/>
          <w:lang w:val="en-US"/>
          <w14:ligatures w14:val="none"/>
        </w:rPr>
        <w:footnoteReference w:id="1"/>
      </w:r>
      <w:r w:rsidR="00F73750" w:rsidRPr="009E06C2">
        <w:rPr>
          <w:lang w:val="en-US"/>
        </w:rPr>
        <w:t xml:space="preserve"> </w:t>
      </w:r>
      <w:r w:rsidR="00843656" w:rsidRPr="009E06C2">
        <w:rPr>
          <w:lang w:val="en-US"/>
        </w:rPr>
        <w:t xml:space="preserve">and the </w:t>
      </w:r>
      <w:r w:rsidR="00F73750" w:rsidRPr="009E06C2">
        <w:rPr>
          <w:lang w:val="en-US"/>
        </w:rPr>
        <w:t>Australian Catholic Bishops’ Conference</w:t>
      </w:r>
      <w:r w:rsidRPr="009E06C2">
        <w:rPr>
          <w:lang w:val="en-US"/>
        </w:rPr>
        <w:t xml:space="preserve"> in</w:t>
      </w:r>
      <w:r w:rsidR="00FD3546" w:rsidRPr="009E06C2">
        <w:rPr>
          <w:lang w:val="en-US"/>
        </w:rPr>
        <w:t xml:space="preserve"> “Created and Loved</w:t>
      </w:r>
      <w:r w:rsidRPr="009E06C2">
        <w:rPr>
          <w:lang w:val="en-US"/>
        </w:rPr>
        <w:t>”</w:t>
      </w:r>
      <w:r w:rsidR="00FD3546" w:rsidRPr="009E06C2">
        <w:rPr>
          <w:lang w:val="en-US"/>
        </w:rPr>
        <w:t xml:space="preserve"> guidance </w:t>
      </w:r>
      <w:r w:rsidR="00F73750" w:rsidRPr="009E06C2">
        <w:rPr>
          <w:lang w:val="en-US"/>
        </w:rPr>
        <w:t>on gender ideology for Catholic Schools</w:t>
      </w:r>
      <w:r w:rsidR="00945AB7" w:rsidRPr="009E06C2">
        <w:rPr>
          <w:lang w:val="en-US"/>
        </w:rPr>
        <w:t>,</w:t>
      </w:r>
      <w:r w:rsidR="002706A9" w:rsidRPr="009E06C2">
        <w:rPr>
          <w:rStyle w:val="FootnoteReference"/>
          <w:rFonts w:asciiTheme="minorHAnsi" w:hAnsiTheme="minorHAnsi" w:cstheme="minorHAnsi"/>
          <w:color w:val="auto"/>
          <w:sz w:val="22"/>
          <w:szCs w:val="22"/>
          <w:lang w:val="en-US"/>
          <w14:ligatures w14:val="none"/>
        </w:rPr>
        <w:footnoteReference w:id="2"/>
      </w:r>
      <w:r w:rsidR="00FD3546" w:rsidRPr="009E06C2">
        <w:rPr>
          <w:lang w:val="en-US"/>
        </w:rPr>
        <w:t xml:space="preserve"> begin </w:t>
      </w:r>
      <w:r w:rsidR="00945AB7" w:rsidRPr="009E06C2">
        <w:rPr>
          <w:lang w:val="en-US"/>
        </w:rPr>
        <w:t xml:space="preserve">from the </w:t>
      </w:r>
      <w:r w:rsidR="00FD3546" w:rsidRPr="009E06C2">
        <w:rPr>
          <w:lang w:val="en-US"/>
        </w:rPr>
        <w:t>‘</w:t>
      </w:r>
      <w:r w:rsidR="00945AB7" w:rsidRPr="009E06C2">
        <w:rPr>
          <w:lang w:val="en-US"/>
        </w:rPr>
        <w:t>foundational principle that each person is created in the image and likeness of God</w:t>
      </w:r>
      <w:r w:rsidR="009E0F69">
        <w:rPr>
          <w:lang w:val="en-US"/>
        </w:rPr>
        <w:t xml:space="preserve"> </w:t>
      </w:r>
      <w:r w:rsidR="00945AB7" w:rsidRPr="009E06C2">
        <w:rPr>
          <w:lang w:val="en-US"/>
        </w:rPr>
        <w:t xml:space="preserve">and is loved by God.’ Archbishop </w:t>
      </w:r>
      <w:proofErr w:type="spellStart"/>
      <w:r w:rsidR="00945AB7" w:rsidRPr="009E06C2">
        <w:rPr>
          <w:lang w:val="en-US"/>
        </w:rPr>
        <w:t>Comensoli</w:t>
      </w:r>
      <w:proofErr w:type="spellEnd"/>
      <w:r w:rsidR="00945AB7" w:rsidRPr="009E06C2">
        <w:rPr>
          <w:lang w:val="en-US"/>
        </w:rPr>
        <w:t xml:space="preserve"> </w:t>
      </w:r>
      <w:r w:rsidR="00A17B5D" w:rsidRPr="009E06C2">
        <w:rPr>
          <w:lang w:val="en-US"/>
        </w:rPr>
        <w:t xml:space="preserve">says </w:t>
      </w:r>
      <w:r w:rsidR="00FD3546" w:rsidRPr="009E06C2">
        <w:rPr>
          <w:lang w:val="en-US"/>
        </w:rPr>
        <w:t>‘</w:t>
      </w:r>
      <w:r w:rsidR="00A17B5D" w:rsidRPr="009E06C2">
        <w:rPr>
          <w:lang w:val="en-US"/>
        </w:rPr>
        <w:t>Created and Loved</w:t>
      </w:r>
      <w:r w:rsidR="00FD3546" w:rsidRPr="009E06C2">
        <w:rPr>
          <w:lang w:val="en-US"/>
        </w:rPr>
        <w:t>’</w:t>
      </w:r>
      <w:r w:rsidR="00A17B5D" w:rsidRPr="009E06C2">
        <w:rPr>
          <w:lang w:val="en-US"/>
        </w:rPr>
        <w:t xml:space="preserve"> is</w:t>
      </w:r>
      <w:r w:rsidR="00A40143" w:rsidRPr="009E06C2">
        <w:rPr>
          <w:lang w:val="en-US"/>
        </w:rPr>
        <w:t xml:space="preserve">: </w:t>
      </w:r>
    </w:p>
    <w:p w14:paraId="4922AC69" w14:textId="738912DF" w:rsidR="004B7367" w:rsidRDefault="006B0AE4" w:rsidP="007A6617">
      <w:pPr>
        <w:ind w:left="720"/>
        <w:jc w:val="both"/>
        <w:rPr>
          <w:lang w:val="en-US"/>
        </w:rPr>
      </w:pPr>
      <w:r w:rsidRPr="00E12CA5">
        <w:rPr>
          <w:i/>
          <w:iCs/>
          <w:lang w:val="en-US"/>
        </w:rPr>
        <w:t>‘</w:t>
      </w:r>
      <w:r w:rsidR="00A17B5D" w:rsidRPr="00E12CA5">
        <w:rPr>
          <w:i/>
          <w:iCs/>
          <w:lang w:val="en-US"/>
        </w:rPr>
        <w:t>grounded in Christian anthropology which values the worth and dignity of every</w:t>
      </w:r>
      <w:r w:rsidR="00A40143" w:rsidRPr="00E12CA5">
        <w:rPr>
          <w:i/>
          <w:iCs/>
          <w:lang w:val="en-US"/>
        </w:rPr>
        <w:t xml:space="preserve"> </w:t>
      </w:r>
      <w:r w:rsidR="00A17B5D" w:rsidRPr="00E12CA5">
        <w:rPr>
          <w:i/>
          <w:iCs/>
          <w:lang w:val="en-US"/>
        </w:rPr>
        <w:t xml:space="preserve">person, and also sees each person holistically, rather than defining that person by any single </w:t>
      </w:r>
      <w:proofErr w:type="spellStart"/>
      <w:proofErr w:type="gramStart"/>
      <w:r w:rsidR="00A17B5D" w:rsidRPr="00E12CA5">
        <w:rPr>
          <w:i/>
          <w:iCs/>
          <w:lang w:val="en-US"/>
        </w:rPr>
        <w:t>characteristic..</w:t>
      </w:r>
      <w:proofErr w:type="gramEnd"/>
      <w:r w:rsidR="00A17B5D" w:rsidRPr="00E12CA5">
        <w:rPr>
          <w:i/>
          <w:iCs/>
          <w:lang w:val="en-US"/>
        </w:rPr>
        <w:t>it</w:t>
      </w:r>
      <w:proofErr w:type="spellEnd"/>
      <w:r w:rsidR="00A17B5D" w:rsidRPr="00E12CA5">
        <w:rPr>
          <w:i/>
          <w:iCs/>
          <w:lang w:val="en-US"/>
        </w:rPr>
        <w:t xml:space="preserve"> is vital that the Catholic vision of the whole person informs our understanding.’</w:t>
      </w:r>
      <w:r w:rsidR="00A17B5D" w:rsidRPr="00E12CA5">
        <w:rPr>
          <w:lang w:val="en-US"/>
        </w:rPr>
        <w:t xml:space="preserve"> </w:t>
      </w:r>
    </w:p>
    <w:p w14:paraId="6CA5F92F" w14:textId="77777777" w:rsidR="007A6617" w:rsidRPr="00E12CA5" w:rsidRDefault="007A6617" w:rsidP="007A6617">
      <w:pPr>
        <w:ind w:left="720"/>
        <w:jc w:val="both"/>
        <w:rPr>
          <w:lang w:val="en-US"/>
        </w:rPr>
      </w:pPr>
    </w:p>
    <w:p w14:paraId="226E76A0" w14:textId="365569CD" w:rsidR="004B7367" w:rsidRDefault="00847E14" w:rsidP="007A6617">
      <w:pPr>
        <w:jc w:val="both"/>
        <w:rPr>
          <w:lang w:val="en-US"/>
        </w:rPr>
      </w:pPr>
      <w:r w:rsidRPr="009E06C2">
        <w:rPr>
          <w:lang w:val="en-US"/>
        </w:rPr>
        <w:t>Without</w:t>
      </w:r>
      <w:r w:rsidR="009E0F69">
        <w:rPr>
          <w:lang w:val="en-US"/>
        </w:rPr>
        <w:t xml:space="preserve"> a </w:t>
      </w:r>
      <w:r w:rsidRPr="009E06C2">
        <w:rPr>
          <w:lang w:val="en-US"/>
        </w:rPr>
        <w:t>Christian anthropology</w:t>
      </w:r>
      <w:r w:rsidR="009E0F69">
        <w:rPr>
          <w:lang w:val="en-US"/>
        </w:rPr>
        <w:t>,</w:t>
      </w:r>
      <w:r w:rsidRPr="009E06C2">
        <w:rPr>
          <w:lang w:val="en-US"/>
        </w:rPr>
        <w:t xml:space="preserve"> ideologies float adrift – more able to founder. </w:t>
      </w:r>
      <w:proofErr w:type="spellStart"/>
      <w:r w:rsidRPr="009E06C2">
        <w:rPr>
          <w:lang w:val="en-US"/>
        </w:rPr>
        <w:t>T</w:t>
      </w:r>
      <w:r w:rsidR="006F2B4B">
        <w:rPr>
          <w:lang w:val="en-US"/>
        </w:rPr>
        <w:t>avistock’s</w:t>
      </w:r>
      <w:proofErr w:type="spellEnd"/>
      <w:r w:rsidR="006F2B4B">
        <w:rPr>
          <w:lang w:val="en-US"/>
        </w:rPr>
        <w:t xml:space="preserve"> gender service </w:t>
      </w:r>
      <w:r w:rsidR="00A42E6D" w:rsidRPr="009E06C2">
        <w:rPr>
          <w:lang w:val="en-US"/>
        </w:rPr>
        <w:t>fail</w:t>
      </w:r>
      <w:r w:rsidR="007509CC" w:rsidRPr="009E06C2">
        <w:rPr>
          <w:lang w:val="en-US"/>
        </w:rPr>
        <w:t>ed</w:t>
      </w:r>
      <w:r w:rsidR="00A42E6D" w:rsidRPr="009E06C2">
        <w:rPr>
          <w:lang w:val="en-US"/>
        </w:rPr>
        <w:t xml:space="preserve"> to meet professional review standards</w:t>
      </w:r>
      <w:r w:rsidR="007509CC" w:rsidRPr="009E06C2">
        <w:rPr>
          <w:lang w:val="en-US"/>
        </w:rPr>
        <w:t xml:space="preserve">, even its own, </w:t>
      </w:r>
      <w:r w:rsidR="00A42E6D" w:rsidRPr="009E06C2">
        <w:rPr>
          <w:lang w:val="en-US"/>
        </w:rPr>
        <w:t>amid a</w:t>
      </w:r>
      <w:r w:rsidR="007509CC" w:rsidRPr="009E06C2">
        <w:rPr>
          <w:lang w:val="en-US"/>
        </w:rPr>
        <w:t xml:space="preserve">n </w:t>
      </w:r>
      <w:r w:rsidR="00661534" w:rsidRPr="009E06C2">
        <w:rPr>
          <w:lang w:val="en-US"/>
        </w:rPr>
        <w:t xml:space="preserve">emerging </w:t>
      </w:r>
      <w:r w:rsidR="007509CC" w:rsidRPr="009E06C2">
        <w:rPr>
          <w:lang w:val="en-US"/>
        </w:rPr>
        <w:t xml:space="preserve">bundle of </w:t>
      </w:r>
      <w:r w:rsidR="00A42E6D" w:rsidRPr="009E06C2">
        <w:rPr>
          <w:lang w:val="en-US"/>
        </w:rPr>
        <w:t>negligence claims.</w:t>
      </w:r>
      <w:r w:rsidR="00E57449" w:rsidRPr="009E06C2">
        <w:rPr>
          <w:lang w:val="en-US"/>
        </w:rPr>
        <w:t xml:space="preserve"> Some of the issues hinge around the competency of </w:t>
      </w:r>
      <w:r w:rsidR="00D30F84" w:rsidRPr="009E06C2">
        <w:rPr>
          <w:lang w:val="en-US"/>
        </w:rPr>
        <w:t>informed consent</w:t>
      </w:r>
      <w:r w:rsidRPr="009E06C2">
        <w:rPr>
          <w:lang w:val="en-US"/>
        </w:rPr>
        <w:t>,</w:t>
      </w:r>
      <w:r w:rsidR="00D30F84" w:rsidRPr="009E06C2">
        <w:rPr>
          <w:lang w:val="en-US"/>
        </w:rPr>
        <w:t xml:space="preserve"> in childhood</w:t>
      </w:r>
      <w:r w:rsidRPr="009E06C2">
        <w:rPr>
          <w:lang w:val="en-US"/>
        </w:rPr>
        <w:t>,</w:t>
      </w:r>
      <w:r w:rsidR="00D30F84" w:rsidRPr="009E06C2">
        <w:rPr>
          <w:lang w:val="en-US"/>
        </w:rPr>
        <w:t xml:space="preserve"> </w:t>
      </w:r>
      <w:r w:rsidR="00E57449" w:rsidRPr="009E06C2">
        <w:rPr>
          <w:lang w:val="en-US"/>
        </w:rPr>
        <w:t xml:space="preserve">to </w:t>
      </w:r>
      <w:r w:rsidR="00D30F84" w:rsidRPr="009E06C2">
        <w:rPr>
          <w:lang w:val="en-US"/>
        </w:rPr>
        <w:t xml:space="preserve">a treatment </w:t>
      </w:r>
      <w:r w:rsidR="00805CA7" w:rsidRPr="009E06C2">
        <w:rPr>
          <w:lang w:val="en-US"/>
        </w:rPr>
        <w:t xml:space="preserve">which can have </w:t>
      </w:r>
      <w:r w:rsidR="00D30F84" w:rsidRPr="009E06C2">
        <w:rPr>
          <w:lang w:val="en-US"/>
        </w:rPr>
        <w:t>far-reaching implications and ramifications into their futures.</w:t>
      </w:r>
      <w:r w:rsidR="005102AB" w:rsidRPr="009E06C2">
        <w:rPr>
          <w:lang w:val="en-US"/>
        </w:rPr>
        <w:t xml:space="preserve"> Some patients regretted transitioning as they matured.</w:t>
      </w:r>
      <w:r w:rsidR="005D3642" w:rsidRPr="009E06C2">
        <w:rPr>
          <w:lang w:val="en-US"/>
        </w:rPr>
        <w:t xml:space="preserve"> They claimed contributory, co-existing health problems had not been addressed.</w:t>
      </w:r>
      <w:r w:rsidR="00376EE3" w:rsidRPr="009E06C2">
        <w:rPr>
          <w:lang w:val="en-US"/>
        </w:rPr>
        <w:t xml:space="preserve"> </w:t>
      </w:r>
      <w:r w:rsidR="00134B6C" w:rsidRPr="009E06C2">
        <w:rPr>
          <w:lang w:val="en-US"/>
        </w:rPr>
        <w:t>A</w:t>
      </w:r>
      <w:r w:rsidR="00134B6C" w:rsidRPr="009E06C2">
        <w:rPr>
          <w:color w:val="202122"/>
          <w:shd w:val="clear" w:color="auto" w:fill="FFFFFF"/>
        </w:rPr>
        <w:t> </w:t>
      </w:r>
      <w:hyperlink r:id="rId7" w:tooltip="High Court of Justice" w:history="1">
        <w:r w:rsidR="00134B6C" w:rsidRPr="009E06C2">
          <w:rPr>
            <w:rStyle w:val="Hyperlink"/>
            <w:rFonts w:asciiTheme="minorHAnsi" w:hAnsiTheme="minorHAnsi" w:cstheme="minorHAnsi"/>
            <w:color w:val="auto"/>
            <w:sz w:val="22"/>
            <w:szCs w:val="22"/>
            <w:u w:val="none"/>
            <w:shd w:val="clear" w:color="auto" w:fill="FFFFFF"/>
          </w:rPr>
          <w:t>High Court</w:t>
        </w:r>
      </w:hyperlink>
      <w:r w:rsidR="005102AB" w:rsidRPr="009E06C2">
        <w:rPr>
          <w:rStyle w:val="Hyperlink"/>
          <w:rFonts w:asciiTheme="minorHAnsi" w:hAnsiTheme="minorHAnsi" w:cstheme="minorHAnsi"/>
          <w:color w:val="auto"/>
          <w:sz w:val="22"/>
          <w:szCs w:val="22"/>
          <w:u w:val="none"/>
          <w:shd w:val="clear" w:color="auto" w:fill="FFFFFF"/>
        </w:rPr>
        <w:t xml:space="preserve"> </w:t>
      </w:r>
      <w:r w:rsidR="00134B6C" w:rsidRPr="009E06C2">
        <w:rPr>
          <w:shd w:val="clear" w:color="auto" w:fill="FFFFFF"/>
        </w:rPr>
        <w:t> (</w:t>
      </w:r>
      <w:hyperlink r:id="rId8" w:tooltip="Administrative Court (England and Wales)" w:history="1">
        <w:r w:rsidR="00134B6C" w:rsidRPr="009E06C2">
          <w:rPr>
            <w:rStyle w:val="Hyperlink"/>
            <w:rFonts w:asciiTheme="minorHAnsi" w:hAnsiTheme="minorHAnsi" w:cstheme="minorHAnsi"/>
            <w:color w:val="auto"/>
            <w:sz w:val="22"/>
            <w:szCs w:val="22"/>
            <w:u w:val="none"/>
            <w:shd w:val="clear" w:color="auto" w:fill="FFFFFF"/>
          </w:rPr>
          <w:t>Administrative Court</w:t>
        </w:r>
      </w:hyperlink>
      <w:r w:rsidR="00134B6C" w:rsidRPr="009E06C2">
        <w:rPr>
          <w:shd w:val="clear" w:color="auto" w:fill="FFFFFF"/>
        </w:rPr>
        <w:t>)</w:t>
      </w:r>
      <w:r w:rsidR="00134B6C" w:rsidRPr="009E06C2">
        <w:rPr>
          <w:color w:val="202122"/>
          <w:shd w:val="clear" w:color="auto" w:fill="FFFFFF"/>
        </w:rPr>
        <w:t xml:space="preserve"> ruling,</w:t>
      </w:r>
      <w:r w:rsidR="00E57449" w:rsidRPr="009E06C2">
        <w:rPr>
          <w:color w:val="202122"/>
          <w:shd w:val="clear" w:color="auto" w:fill="FFFFFF"/>
        </w:rPr>
        <w:t xml:space="preserve"> </w:t>
      </w:r>
      <w:r w:rsidR="00134B6C" w:rsidRPr="009E06C2">
        <w:rPr>
          <w:color w:val="202122"/>
          <w:shd w:val="clear" w:color="auto" w:fill="FFFFFF"/>
        </w:rPr>
        <w:t>which was overturned on appeal, said that it was unlikely that a child under the age of 16 could be </w:t>
      </w:r>
      <w:r w:rsidR="003C26F5" w:rsidRPr="009E06C2">
        <w:rPr>
          <w:color w:val="202122"/>
          <w:shd w:val="clear" w:color="auto" w:fill="FFFFFF"/>
        </w:rPr>
        <w:t>‘</w:t>
      </w:r>
      <w:r w:rsidR="00134B6C" w:rsidRPr="009E06C2">
        <w:rPr>
          <w:i/>
          <w:iCs/>
          <w:color w:val="202122"/>
          <w:shd w:val="clear" w:color="auto" w:fill="FFFFFF"/>
        </w:rPr>
        <w:t>Gillick</w:t>
      </w:r>
      <w:r w:rsidR="00134B6C" w:rsidRPr="009E06C2">
        <w:rPr>
          <w:color w:val="202122"/>
          <w:shd w:val="clear" w:color="auto" w:fill="FFFFFF"/>
        </w:rPr>
        <w:t> competent</w:t>
      </w:r>
      <w:r w:rsidR="003C26F5" w:rsidRPr="009E06C2">
        <w:rPr>
          <w:color w:val="202122"/>
          <w:shd w:val="clear" w:color="auto" w:fill="FFFFFF"/>
        </w:rPr>
        <w:t>’</w:t>
      </w:r>
      <w:r w:rsidR="00334D98" w:rsidRPr="009E06C2">
        <w:rPr>
          <w:rStyle w:val="FootnoteReference"/>
          <w:rFonts w:asciiTheme="minorHAnsi" w:hAnsiTheme="minorHAnsi" w:cstheme="minorHAnsi"/>
          <w:color w:val="202122"/>
          <w:sz w:val="22"/>
          <w:szCs w:val="22"/>
          <w:shd w:val="clear" w:color="auto" w:fill="FFFFFF"/>
        </w:rPr>
        <w:footnoteReference w:id="3"/>
      </w:r>
      <w:r w:rsidR="00134B6C" w:rsidRPr="009E06C2">
        <w:rPr>
          <w:color w:val="202122"/>
          <w:shd w:val="clear" w:color="auto" w:fill="FFFFFF"/>
        </w:rPr>
        <w:t xml:space="preserve"> to consent to puberty</w:t>
      </w:r>
      <w:r w:rsidR="00DF5E9A" w:rsidRPr="009E06C2">
        <w:rPr>
          <w:color w:val="202122"/>
          <w:shd w:val="clear" w:color="auto" w:fill="FFFFFF"/>
        </w:rPr>
        <w:t>-</w:t>
      </w:r>
      <w:r w:rsidR="00134B6C" w:rsidRPr="009E06C2">
        <w:rPr>
          <w:color w:val="202122"/>
          <w:shd w:val="clear" w:color="auto" w:fill="FFFFFF"/>
        </w:rPr>
        <w:t>blocking treatment.</w:t>
      </w:r>
      <w:r w:rsidR="00F73750" w:rsidRPr="009E06C2">
        <w:rPr>
          <w:lang w:val="en-US"/>
        </w:rPr>
        <w:t xml:space="preserve"> </w:t>
      </w:r>
    </w:p>
    <w:p w14:paraId="05C89C57" w14:textId="77777777" w:rsidR="007A6617" w:rsidRPr="009E06C2" w:rsidRDefault="007A6617" w:rsidP="007A6617">
      <w:pPr>
        <w:jc w:val="both"/>
        <w:rPr>
          <w:lang w:val="en-US"/>
        </w:rPr>
      </w:pPr>
    </w:p>
    <w:p w14:paraId="37CE1DB0" w14:textId="16CDA6C0" w:rsidR="00352E5E" w:rsidRDefault="00352E5E" w:rsidP="007A6617">
      <w:pPr>
        <w:jc w:val="both"/>
        <w:rPr>
          <w:lang w:val="en-US"/>
        </w:rPr>
      </w:pPr>
      <w:r w:rsidRPr="009E06C2">
        <w:rPr>
          <w:lang w:val="en-US"/>
        </w:rPr>
        <w:t>The language</w:t>
      </w:r>
      <w:r w:rsidR="00000A14" w:rsidRPr="009E06C2">
        <w:rPr>
          <w:lang w:val="en-US"/>
        </w:rPr>
        <w:t xml:space="preserve"> of gender identity services and </w:t>
      </w:r>
      <w:r w:rsidR="003A0485" w:rsidRPr="009E06C2">
        <w:rPr>
          <w:lang w:val="en-US"/>
        </w:rPr>
        <w:t xml:space="preserve">of gender ideology itself is complicated, </w:t>
      </w:r>
      <w:r w:rsidR="006C3B1B" w:rsidRPr="009E06C2">
        <w:rPr>
          <w:lang w:val="en-US"/>
        </w:rPr>
        <w:t>establishing compartmentalized</w:t>
      </w:r>
      <w:r w:rsidR="0066419C" w:rsidRPr="009E06C2">
        <w:rPr>
          <w:lang w:val="en-US"/>
        </w:rPr>
        <w:t xml:space="preserve"> descriptors </w:t>
      </w:r>
      <w:r w:rsidR="00FB7A52" w:rsidRPr="009E06C2">
        <w:rPr>
          <w:lang w:val="en-US"/>
        </w:rPr>
        <w:t xml:space="preserve">of </w:t>
      </w:r>
      <w:r w:rsidR="006C3B1B" w:rsidRPr="009E06C2">
        <w:rPr>
          <w:lang w:val="en-US"/>
        </w:rPr>
        <w:t>personhood</w:t>
      </w:r>
      <w:r w:rsidR="0066419C" w:rsidRPr="009E06C2">
        <w:rPr>
          <w:lang w:val="en-US"/>
        </w:rPr>
        <w:t xml:space="preserve">. </w:t>
      </w:r>
      <w:r w:rsidR="008D7F8B" w:rsidRPr="009E06C2">
        <w:rPr>
          <w:lang w:val="en-US"/>
        </w:rPr>
        <w:t>Its l</w:t>
      </w:r>
      <w:r w:rsidR="0066419C" w:rsidRPr="009E06C2">
        <w:rPr>
          <w:lang w:val="en-US"/>
        </w:rPr>
        <w:t xml:space="preserve">abels </w:t>
      </w:r>
      <w:r w:rsidR="00376EE3" w:rsidRPr="009E06C2">
        <w:rPr>
          <w:lang w:val="en-US"/>
        </w:rPr>
        <w:t xml:space="preserve">- </w:t>
      </w:r>
      <w:r w:rsidR="0066419C" w:rsidRPr="009E06C2">
        <w:rPr>
          <w:lang w:val="en-US"/>
        </w:rPr>
        <w:t>to wear and staple onto each other</w:t>
      </w:r>
      <w:r w:rsidR="00FE505C" w:rsidRPr="009E06C2">
        <w:rPr>
          <w:lang w:val="en-US"/>
        </w:rPr>
        <w:t xml:space="preserve"> </w:t>
      </w:r>
      <w:r w:rsidR="00376EE3" w:rsidRPr="009E06C2">
        <w:rPr>
          <w:lang w:val="en-US"/>
        </w:rPr>
        <w:t xml:space="preserve">– tell us </w:t>
      </w:r>
      <w:r w:rsidR="008D7F8B" w:rsidRPr="009E06C2">
        <w:rPr>
          <w:lang w:val="en-US"/>
        </w:rPr>
        <w:t xml:space="preserve">who we are. And </w:t>
      </w:r>
      <w:r w:rsidR="00376EE3" w:rsidRPr="009E06C2">
        <w:rPr>
          <w:lang w:val="en-US"/>
        </w:rPr>
        <w:t xml:space="preserve">simplify </w:t>
      </w:r>
      <w:r w:rsidR="00913B42" w:rsidRPr="009E06C2">
        <w:rPr>
          <w:lang w:val="en-US"/>
        </w:rPr>
        <w:t>who we are. The</w:t>
      </w:r>
      <w:r w:rsidR="008D7F8B" w:rsidRPr="009E06C2">
        <w:rPr>
          <w:lang w:val="en-US"/>
        </w:rPr>
        <w:t xml:space="preserve">y </w:t>
      </w:r>
      <w:r w:rsidR="00E943FB">
        <w:rPr>
          <w:lang w:val="en-US"/>
        </w:rPr>
        <w:t xml:space="preserve">structure </w:t>
      </w:r>
      <w:r w:rsidR="003A0485" w:rsidRPr="009E06C2">
        <w:rPr>
          <w:lang w:val="en-US"/>
        </w:rPr>
        <w:t xml:space="preserve">a complex ideological development that, </w:t>
      </w:r>
      <w:r w:rsidR="00EF1049" w:rsidRPr="009E06C2">
        <w:rPr>
          <w:lang w:val="en-US"/>
        </w:rPr>
        <w:t xml:space="preserve">in the words of Pope Francis, has </w:t>
      </w:r>
      <w:r w:rsidR="002706A9" w:rsidRPr="009E06C2">
        <w:rPr>
          <w:lang w:val="en-US"/>
        </w:rPr>
        <w:t>‘</w:t>
      </w:r>
      <w:r w:rsidR="00EF1049" w:rsidRPr="009E06C2">
        <w:rPr>
          <w:lang w:val="en-US"/>
        </w:rPr>
        <w:t>colonized</w:t>
      </w:r>
      <w:r w:rsidR="002706A9" w:rsidRPr="009E06C2">
        <w:rPr>
          <w:lang w:val="en-US"/>
        </w:rPr>
        <w:t>’</w:t>
      </w:r>
      <w:r w:rsidR="00EF1049" w:rsidRPr="009E06C2">
        <w:rPr>
          <w:lang w:val="en-US"/>
        </w:rPr>
        <w:t xml:space="preserve"> many countries</w:t>
      </w:r>
      <w:r w:rsidR="00DF5E9A" w:rsidRPr="009E06C2">
        <w:rPr>
          <w:lang w:val="en-US"/>
        </w:rPr>
        <w:t>.</w:t>
      </w:r>
      <w:r w:rsidR="00BB5BCA" w:rsidRPr="009E06C2">
        <w:rPr>
          <w:lang w:val="en-US"/>
        </w:rPr>
        <w:t xml:space="preserve"> </w:t>
      </w:r>
      <w:r w:rsidR="00B37303" w:rsidRPr="009E06C2">
        <w:rPr>
          <w:lang w:val="en-US"/>
        </w:rPr>
        <w:t>O</w:t>
      </w:r>
      <w:r w:rsidR="003B7460" w:rsidRPr="009E06C2">
        <w:rPr>
          <w:lang w:val="en-US"/>
        </w:rPr>
        <w:t xml:space="preserve">ur children and grandchildren </w:t>
      </w:r>
      <w:r w:rsidR="00B37303" w:rsidRPr="009E06C2">
        <w:rPr>
          <w:lang w:val="en-US"/>
        </w:rPr>
        <w:t xml:space="preserve">are </w:t>
      </w:r>
      <w:r w:rsidR="005D3642" w:rsidRPr="009E06C2">
        <w:rPr>
          <w:lang w:val="en-US"/>
        </w:rPr>
        <w:t xml:space="preserve">now </w:t>
      </w:r>
      <w:r w:rsidR="00B37303" w:rsidRPr="009E06C2">
        <w:rPr>
          <w:lang w:val="en-US"/>
        </w:rPr>
        <w:t>negotiating these concepts</w:t>
      </w:r>
      <w:r w:rsidR="00817E85" w:rsidRPr="009E06C2">
        <w:rPr>
          <w:lang w:val="en-US"/>
        </w:rPr>
        <w:t xml:space="preserve"> and constructs</w:t>
      </w:r>
      <w:r w:rsidR="00B37303" w:rsidRPr="009E06C2">
        <w:rPr>
          <w:lang w:val="en-US"/>
        </w:rPr>
        <w:t xml:space="preserve"> as they grow up.</w:t>
      </w:r>
      <w:r w:rsidR="001658CE" w:rsidRPr="009E06C2">
        <w:rPr>
          <w:lang w:val="en-US"/>
        </w:rPr>
        <w:t xml:space="preserve"> Those experiencing difficulties deserve the very best of our attention</w:t>
      </w:r>
      <w:r w:rsidR="005102AB" w:rsidRPr="009E06C2">
        <w:rPr>
          <w:lang w:val="en-US"/>
        </w:rPr>
        <w:t xml:space="preserve">, </w:t>
      </w:r>
      <w:proofErr w:type="gramStart"/>
      <w:r w:rsidR="001658CE" w:rsidRPr="009E06C2">
        <w:rPr>
          <w:lang w:val="en-US"/>
        </w:rPr>
        <w:t>care</w:t>
      </w:r>
      <w:proofErr w:type="gramEnd"/>
      <w:r w:rsidR="005102AB" w:rsidRPr="009E06C2">
        <w:rPr>
          <w:lang w:val="en-US"/>
        </w:rPr>
        <w:t xml:space="preserve"> and love</w:t>
      </w:r>
      <w:r w:rsidR="001658CE" w:rsidRPr="009E06C2">
        <w:rPr>
          <w:lang w:val="en-US"/>
        </w:rPr>
        <w:t xml:space="preserve">, drawing on different modalities of health </w:t>
      </w:r>
      <w:r w:rsidR="004B7367" w:rsidRPr="009E06C2">
        <w:rPr>
          <w:lang w:val="en-US"/>
        </w:rPr>
        <w:t xml:space="preserve">experience and </w:t>
      </w:r>
      <w:r w:rsidR="001658CE" w:rsidRPr="009E06C2">
        <w:rPr>
          <w:lang w:val="en-US"/>
        </w:rPr>
        <w:t>expertise</w:t>
      </w:r>
      <w:r w:rsidR="009B32A7" w:rsidRPr="009E06C2">
        <w:rPr>
          <w:lang w:val="en-US"/>
        </w:rPr>
        <w:t>.</w:t>
      </w:r>
      <w:r w:rsidR="005D3642" w:rsidRPr="009E06C2">
        <w:rPr>
          <w:lang w:val="en-US"/>
        </w:rPr>
        <w:t xml:space="preserve"> So it </w:t>
      </w:r>
      <w:r w:rsidR="00E86470" w:rsidRPr="009E06C2">
        <w:rPr>
          <w:lang w:val="en-US"/>
        </w:rPr>
        <w:t xml:space="preserve">is with great hope </w:t>
      </w:r>
      <w:r w:rsidR="00FE63E1" w:rsidRPr="009E06C2">
        <w:rPr>
          <w:lang w:val="en-US"/>
        </w:rPr>
        <w:t xml:space="preserve">and assurance </w:t>
      </w:r>
      <w:r w:rsidR="00E86470" w:rsidRPr="009E06C2">
        <w:rPr>
          <w:lang w:val="en-US"/>
        </w:rPr>
        <w:t>that parents and grandparents can now know that our Catholic Bishops have guided our schools in this changing field</w:t>
      </w:r>
      <w:r w:rsidR="00817E85" w:rsidRPr="009E06C2">
        <w:rPr>
          <w:lang w:val="en-US"/>
        </w:rPr>
        <w:t xml:space="preserve">, </w:t>
      </w:r>
      <w:r w:rsidR="00E943FB">
        <w:rPr>
          <w:lang w:val="en-US"/>
        </w:rPr>
        <w:t xml:space="preserve">and that </w:t>
      </w:r>
      <w:r w:rsidR="00817E85" w:rsidRPr="009E06C2">
        <w:rPr>
          <w:lang w:val="en-US"/>
        </w:rPr>
        <w:t xml:space="preserve">they will </w:t>
      </w:r>
      <w:r w:rsidR="00FE63E1" w:rsidRPr="009E06C2">
        <w:rPr>
          <w:lang w:val="en-US"/>
        </w:rPr>
        <w:t>continue to</w:t>
      </w:r>
      <w:r w:rsidR="00E943FB">
        <w:rPr>
          <w:lang w:val="en-US"/>
        </w:rPr>
        <w:t xml:space="preserve"> implement this guidance </w:t>
      </w:r>
      <w:r w:rsidR="00D0300F" w:rsidRPr="009E06C2">
        <w:rPr>
          <w:lang w:val="en-US"/>
        </w:rPr>
        <w:t>according to Christian anthropology</w:t>
      </w:r>
      <w:r w:rsidR="00566301" w:rsidRPr="009E06C2">
        <w:rPr>
          <w:lang w:val="en-US"/>
        </w:rPr>
        <w:t xml:space="preserve">. We can now expect our </w:t>
      </w:r>
      <w:r w:rsidR="00A829FD" w:rsidRPr="009E06C2">
        <w:rPr>
          <w:lang w:val="en-US"/>
        </w:rPr>
        <w:t xml:space="preserve">Catholic </w:t>
      </w:r>
      <w:r w:rsidR="00566301" w:rsidRPr="009E06C2">
        <w:rPr>
          <w:lang w:val="en-US"/>
        </w:rPr>
        <w:t xml:space="preserve">Bishops in their roles and duties as pastors to shepherd the </w:t>
      </w:r>
      <w:r w:rsidR="00817E85" w:rsidRPr="009E06C2">
        <w:rPr>
          <w:lang w:val="en-US"/>
        </w:rPr>
        <w:t>protect</w:t>
      </w:r>
      <w:r w:rsidR="00290A0D" w:rsidRPr="009E06C2">
        <w:rPr>
          <w:lang w:val="en-US"/>
        </w:rPr>
        <w:t>ion of</w:t>
      </w:r>
      <w:r w:rsidR="00817E85" w:rsidRPr="009E06C2">
        <w:rPr>
          <w:lang w:val="en-US"/>
        </w:rPr>
        <w:t xml:space="preserve"> the children in </w:t>
      </w:r>
      <w:r w:rsidR="00A829FD" w:rsidRPr="009E06C2">
        <w:rPr>
          <w:lang w:val="en-US"/>
        </w:rPr>
        <w:t xml:space="preserve">Catholic </w:t>
      </w:r>
      <w:r w:rsidR="00817E85" w:rsidRPr="009E06C2">
        <w:rPr>
          <w:lang w:val="en-US"/>
        </w:rPr>
        <w:t>schools f</w:t>
      </w:r>
      <w:r w:rsidR="00A829FD" w:rsidRPr="009E06C2">
        <w:rPr>
          <w:lang w:val="en-US"/>
        </w:rPr>
        <w:t xml:space="preserve">rom other anthropologies and </w:t>
      </w:r>
      <w:r w:rsidR="00F41565" w:rsidRPr="009E06C2">
        <w:rPr>
          <w:lang w:val="en-US"/>
        </w:rPr>
        <w:t xml:space="preserve">from </w:t>
      </w:r>
      <w:r w:rsidR="00A829FD" w:rsidRPr="009E06C2">
        <w:rPr>
          <w:lang w:val="en-US"/>
        </w:rPr>
        <w:t>the application of the shifting, outdated or poor science</w:t>
      </w:r>
      <w:r w:rsidR="00F41565" w:rsidRPr="009E06C2">
        <w:rPr>
          <w:lang w:val="en-US"/>
        </w:rPr>
        <w:t xml:space="preserve"> </w:t>
      </w:r>
      <w:r w:rsidR="00847E14" w:rsidRPr="009E06C2">
        <w:rPr>
          <w:lang w:val="en-US"/>
        </w:rPr>
        <w:t xml:space="preserve">of </w:t>
      </w:r>
      <w:r w:rsidR="00F41565" w:rsidRPr="009E06C2">
        <w:rPr>
          <w:lang w:val="en-US"/>
        </w:rPr>
        <w:t>non-</w:t>
      </w:r>
      <w:r w:rsidR="00847E14" w:rsidRPr="009E06C2">
        <w:rPr>
          <w:lang w:val="en-US"/>
        </w:rPr>
        <w:t xml:space="preserve">holistic, non-multidisciplinary care. </w:t>
      </w:r>
      <w:r w:rsidR="00B37303" w:rsidRPr="009E06C2">
        <w:rPr>
          <w:lang w:val="en-US"/>
        </w:rPr>
        <w:t xml:space="preserve"> </w:t>
      </w:r>
      <w:r w:rsidR="000032A1" w:rsidRPr="009E06C2">
        <w:rPr>
          <w:lang w:val="en-US"/>
        </w:rPr>
        <w:t xml:space="preserve"> </w:t>
      </w:r>
    </w:p>
    <w:p w14:paraId="5E9FDB33" w14:textId="35A92A84" w:rsidR="007A6617" w:rsidRDefault="007A6617" w:rsidP="007A6617">
      <w:pPr>
        <w:jc w:val="both"/>
        <w:rPr>
          <w:lang w:val="en-US"/>
        </w:rPr>
      </w:pPr>
    </w:p>
    <w:p w14:paraId="35D0D9FA" w14:textId="77777777" w:rsidR="007A6617" w:rsidRPr="009E06C2" w:rsidRDefault="007A6617" w:rsidP="007A6617">
      <w:pPr>
        <w:jc w:val="both"/>
        <w:rPr>
          <w:color w:val="006699"/>
          <w:lang w:val="en-US"/>
        </w:rPr>
      </w:pPr>
    </w:p>
    <w:p w14:paraId="79D89A05" w14:textId="04D3436B" w:rsidR="00D2152D" w:rsidRPr="009E06C2" w:rsidRDefault="00D2152D" w:rsidP="007A6617">
      <w:pPr>
        <w:pStyle w:val="BodyCopy"/>
        <w:widowControl w:val="0"/>
        <w:spacing w:after="0" w:line="240" w:lineRule="auto"/>
        <w:jc w:val="both"/>
        <w:rPr>
          <w:rFonts w:asciiTheme="minorHAnsi" w:hAnsiTheme="minorHAnsi" w:cstheme="minorHAnsi"/>
          <w:b/>
          <w:bCs/>
          <w:color w:val="006699"/>
          <w:sz w:val="22"/>
          <w:szCs w:val="22"/>
          <w:lang w:val="en-US"/>
          <w14:ligatures w14:val="none"/>
        </w:rPr>
      </w:pPr>
      <w:r w:rsidRPr="009E06C2">
        <w:rPr>
          <w:rFonts w:asciiTheme="minorHAnsi" w:hAnsiTheme="minorHAnsi" w:cstheme="minorHAnsi"/>
          <w:b/>
          <w:bCs/>
          <w:color w:val="006699"/>
          <w:sz w:val="22"/>
          <w:szCs w:val="22"/>
          <w:lang w:val="en-US"/>
          <w14:ligatures w14:val="none"/>
        </w:rPr>
        <w:lastRenderedPageBreak/>
        <w:t>Gender Dysphoria Care?</w:t>
      </w:r>
    </w:p>
    <w:p w14:paraId="711EE04A" w14:textId="6BCC7BBD" w:rsidR="00D2152D" w:rsidRDefault="00602594" w:rsidP="003C4861">
      <w:pPr>
        <w:pStyle w:val="NoSpacing"/>
        <w:jc w:val="both"/>
        <w:rPr>
          <w:sz w:val="22"/>
          <w:szCs w:val="22"/>
          <w:lang w:val="en-US"/>
        </w:rPr>
      </w:pPr>
      <w:r w:rsidRPr="007A6617">
        <w:rPr>
          <w:sz w:val="22"/>
          <w:szCs w:val="22"/>
          <w:lang w:val="en-US"/>
        </w:rPr>
        <w:t>The r</w:t>
      </w:r>
      <w:r w:rsidR="009B32A7" w:rsidRPr="007A6617">
        <w:rPr>
          <w:sz w:val="22"/>
          <w:szCs w:val="22"/>
          <w:lang w:val="en-US"/>
        </w:rPr>
        <w:t>ecent</w:t>
      </w:r>
      <w:r w:rsidRPr="007A6617">
        <w:rPr>
          <w:sz w:val="22"/>
          <w:szCs w:val="22"/>
          <w:lang w:val="en-US"/>
        </w:rPr>
        <w:t xml:space="preserve"> </w:t>
      </w:r>
      <w:proofErr w:type="spellStart"/>
      <w:r w:rsidRPr="007A6617">
        <w:rPr>
          <w:sz w:val="22"/>
          <w:szCs w:val="22"/>
          <w:lang w:val="en-US"/>
        </w:rPr>
        <w:t>Tavistock</w:t>
      </w:r>
      <w:proofErr w:type="spellEnd"/>
      <w:r w:rsidRPr="007A6617">
        <w:rPr>
          <w:sz w:val="22"/>
          <w:szCs w:val="22"/>
          <w:lang w:val="en-US"/>
        </w:rPr>
        <w:t xml:space="preserve"> </w:t>
      </w:r>
      <w:r w:rsidR="007A6617" w:rsidRPr="007A6617">
        <w:rPr>
          <w:sz w:val="22"/>
          <w:szCs w:val="22"/>
          <w:lang w:val="en-US"/>
        </w:rPr>
        <w:t xml:space="preserve">Gender service issues </w:t>
      </w:r>
      <w:r w:rsidR="009B32A7" w:rsidRPr="007A6617">
        <w:rPr>
          <w:sz w:val="22"/>
          <w:szCs w:val="22"/>
          <w:lang w:val="en-US"/>
        </w:rPr>
        <w:t>have drawn attention to the quality of health</w:t>
      </w:r>
      <w:r w:rsidR="003444E8" w:rsidRPr="007A6617">
        <w:rPr>
          <w:sz w:val="22"/>
          <w:szCs w:val="22"/>
          <w:lang w:val="en-US"/>
        </w:rPr>
        <w:t xml:space="preserve"> required</w:t>
      </w:r>
      <w:r w:rsidR="009B32A7" w:rsidRPr="007A6617">
        <w:rPr>
          <w:sz w:val="22"/>
          <w:szCs w:val="22"/>
          <w:lang w:val="en-US"/>
        </w:rPr>
        <w:t xml:space="preserve"> in this domain</w:t>
      </w:r>
      <w:r w:rsidRPr="007A6617">
        <w:rPr>
          <w:sz w:val="22"/>
          <w:szCs w:val="22"/>
          <w:lang w:val="en-US"/>
        </w:rPr>
        <w:t xml:space="preserve">. They reveal the </w:t>
      </w:r>
      <w:r w:rsidR="009B32A7" w:rsidRPr="007A6617">
        <w:rPr>
          <w:sz w:val="22"/>
          <w:szCs w:val="22"/>
          <w:lang w:val="en-US"/>
        </w:rPr>
        <w:t>problems that can arise</w:t>
      </w:r>
      <w:r w:rsidRPr="007A6617">
        <w:rPr>
          <w:sz w:val="22"/>
          <w:szCs w:val="22"/>
          <w:lang w:val="en-US"/>
        </w:rPr>
        <w:t xml:space="preserve"> w</w:t>
      </w:r>
      <w:r w:rsidR="00135A1C" w:rsidRPr="007A6617">
        <w:rPr>
          <w:sz w:val="22"/>
          <w:szCs w:val="22"/>
          <w:lang w:val="en-US"/>
        </w:rPr>
        <w:t xml:space="preserve">ithout the provision of </w:t>
      </w:r>
      <w:r w:rsidR="00B42433" w:rsidRPr="007A6617">
        <w:rPr>
          <w:sz w:val="22"/>
          <w:szCs w:val="22"/>
          <w:lang w:val="en-US"/>
        </w:rPr>
        <w:t xml:space="preserve">multidisciplinary, </w:t>
      </w:r>
      <w:r w:rsidRPr="007A6617">
        <w:rPr>
          <w:sz w:val="22"/>
          <w:szCs w:val="22"/>
          <w:lang w:val="en-US"/>
        </w:rPr>
        <w:t xml:space="preserve">holistic </w:t>
      </w:r>
      <w:r w:rsidR="003444E8" w:rsidRPr="007A6617">
        <w:rPr>
          <w:sz w:val="22"/>
          <w:szCs w:val="22"/>
          <w:lang w:val="en-US"/>
        </w:rPr>
        <w:t>therapy</w:t>
      </w:r>
      <w:r w:rsidR="00135A1C" w:rsidRPr="007A6617">
        <w:rPr>
          <w:sz w:val="22"/>
          <w:szCs w:val="22"/>
          <w:lang w:val="en-US"/>
        </w:rPr>
        <w:t xml:space="preserve">. Deficient evaluation, assessment, diagnosis, </w:t>
      </w:r>
      <w:proofErr w:type="gramStart"/>
      <w:r w:rsidR="00135A1C" w:rsidRPr="007A6617">
        <w:rPr>
          <w:sz w:val="22"/>
          <w:szCs w:val="22"/>
          <w:lang w:val="en-US"/>
        </w:rPr>
        <w:t>management</w:t>
      </w:r>
      <w:proofErr w:type="gramEnd"/>
      <w:r w:rsidR="00135A1C" w:rsidRPr="007A6617">
        <w:rPr>
          <w:sz w:val="22"/>
          <w:szCs w:val="22"/>
          <w:lang w:val="en-US"/>
        </w:rPr>
        <w:t xml:space="preserve"> and follow-up, of </w:t>
      </w:r>
      <w:r w:rsidR="00D2152D" w:rsidRPr="007A6617">
        <w:rPr>
          <w:sz w:val="22"/>
          <w:szCs w:val="22"/>
          <w:lang w:val="en-US"/>
        </w:rPr>
        <w:t xml:space="preserve">‘Gender Dysphoria’ presentations </w:t>
      </w:r>
      <w:r w:rsidR="00214D79" w:rsidRPr="007A6617">
        <w:rPr>
          <w:sz w:val="22"/>
          <w:szCs w:val="22"/>
          <w:lang w:val="en-US"/>
        </w:rPr>
        <w:t xml:space="preserve">were identified. </w:t>
      </w:r>
      <w:r w:rsidR="00D2152D" w:rsidRPr="007A6617">
        <w:rPr>
          <w:sz w:val="22"/>
          <w:szCs w:val="22"/>
          <w:lang w:val="en-US"/>
        </w:rPr>
        <w:t xml:space="preserve">The “Care Quality Commission” (CQC) inspection of </w:t>
      </w:r>
      <w:proofErr w:type="spellStart"/>
      <w:r w:rsidR="00D2152D" w:rsidRPr="007A6617">
        <w:rPr>
          <w:sz w:val="22"/>
          <w:szCs w:val="22"/>
          <w:lang w:val="en-US"/>
        </w:rPr>
        <w:t>Tavistock</w:t>
      </w:r>
      <w:proofErr w:type="spellEnd"/>
      <w:r w:rsidR="00D2152D" w:rsidRPr="007A6617">
        <w:rPr>
          <w:sz w:val="22"/>
          <w:szCs w:val="22"/>
          <w:lang w:val="en-US"/>
        </w:rPr>
        <w:t xml:space="preserve"> and Portman National Health Service (NHS) Foundation Trust’s Gender Identity Service</w:t>
      </w:r>
      <w:r w:rsidR="003C4861">
        <w:rPr>
          <w:sz w:val="22"/>
          <w:szCs w:val="22"/>
          <w:lang w:val="en-US"/>
        </w:rPr>
        <w:t xml:space="preserve"> </w:t>
      </w:r>
      <w:r w:rsidR="00D2152D" w:rsidRPr="007A6617">
        <w:rPr>
          <w:sz w:val="22"/>
          <w:szCs w:val="22"/>
          <w:lang w:val="en-US"/>
        </w:rPr>
        <w:t xml:space="preserve">rated it overall as ‘inadequate’. Many concerns were expressed, some quite alarming: </w:t>
      </w:r>
    </w:p>
    <w:p w14:paraId="0E844289" w14:textId="77777777" w:rsidR="00AA22CB" w:rsidRPr="007A6617" w:rsidRDefault="00AA22CB" w:rsidP="003C4861">
      <w:pPr>
        <w:pStyle w:val="NoSpacing"/>
        <w:rPr>
          <w:sz w:val="22"/>
          <w:szCs w:val="22"/>
          <w:lang w:val="en-US"/>
        </w:rPr>
      </w:pPr>
    </w:p>
    <w:p w14:paraId="488F6AB9" w14:textId="2074A346" w:rsidR="00D2152D" w:rsidRDefault="00D2152D" w:rsidP="003C4861">
      <w:pPr>
        <w:pStyle w:val="BodyCopy"/>
        <w:widowControl w:val="0"/>
        <w:spacing w:after="0" w:line="240" w:lineRule="auto"/>
        <w:ind w:left="720"/>
        <w:jc w:val="both"/>
        <w:rPr>
          <w:rFonts w:asciiTheme="minorHAnsi" w:hAnsiTheme="minorHAnsi" w:cstheme="minorHAnsi"/>
          <w:i/>
          <w:iCs/>
          <w:sz w:val="22"/>
          <w:szCs w:val="22"/>
          <w14:ligatures w14:val="none"/>
        </w:rPr>
      </w:pPr>
      <w:proofErr w:type="gramStart"/>
      <w:r w:rsidRPr="009E06C2">
        <w:rPr>
          <w:rFonts w:asciiTheme="minorHAnsi" w:hAnsiTheme="minorHAnsi" w:cstheme="minorHAnsi"/>
          <w:i/>
          <w:iCs/>
          <w:sz w:val="22"/>
          <w:szCs w:val="22"/>
          <w:lang w:val="en-US"/>
          <w14:ligatures w14:val="none"/>
        </w:rPr>
        <w:t>‘</w:t>
      </w:r>
      <w:r w:rsidR="009B32A7" w:rsidRPr="009E06C2">
        <w:rPr>
          <w:rFonts w:asciiTheme="minorHAnsi" w:hAnsiTheme="minorHAnsi" w:cstheme="minorHAnsi"/>
          <w:i/>
          <w:iCs/>
          <w:sz w:val="22"/>
          <w:szCs w:val="22"/>
          <w:lang w:val="en-US"/>
          <w14:ligatures w14:val="none"/>
        </w:rPr>
        <w:t>..</w:t>
      </w:r>
      <w:proofErr w:type="gramEnd"/>
      <w:r w:rsidRPr="009E06C2">
        <w:rPr>
          <w:rFonts w:asciiTheme="minorHAnsi" w:hAnsiTheme="minorHAnsi" w:cstheme="minorHAnsi"/>
          <w:i/>
          <w:iCs/>
          <w:sz w:val="22"/>
          <w:szCs w:val="22"/>
          <w14:ligatures w14:val="none"/>
        </w:rPr>
        <w:t xml:space="preserve">an audit of capacity, competency and consent was carried out in March 2020. This audit found that </w:t>
      </w:r>
      <w:r w:rsidRPr="00187F92">
        <w:rPr>
          <w:rFonts w:asciiTheme="minorHAnsi" w:hAnsiTheme="minorHAnsi" w:cstheme="minorHAnsi"/>
          <w:i/>
          <w:iCs/>
          <w:color w:val="auto"/>
          <w:sz w:val="22"/>
          <w:szCs w:val="22"/>
          <w14:ligatures w14:val="none"/>
        </w:rPr>
        <w:t>assessments of capacity, competency and consent had not been recorded</w:t>
      </w:r>
      <w:r w:rsidRPr="009E06C2">
        <w:rPr>
          <w:rFonts w:asciiTheme="minorHAnsi" w:hAnsiTheme="minorHAnsi" w:cstheme="minorHAnsi"/>
          <w:b/>
          <w:bCs/>
          <w:i/>
          <w:iCs/>
          <w:color w:val="004D73"/>
          <w:sz w:val="22"/>
          <w:szCs w:val="22"/>
          <w14:ligatures w14:val="none"/>
        </w:rPr>
        <w:t xml:space="preserve"> </w:t>
      </w:r>
      <w:r w:rsidRPr="009E06C2">
        <w:rPr>
          <w:rFonts w:asciiTheme="minorHAnsi" w:hAnsiTheme="minorHAnsi" w:cstheme="minorHAnsi"/>
          <w:i/>
          <w:iCs/>
          <w:sz w:val="22"/>
          <w:szCs w:val="22"/>
          <w14:ligatures w14:val="none"/>
        </w:rPr>
        <w:t>in accordance with the established procedures in</w:t>
      </w:r>
      <w:r w:rsidR="00DF5E9A" w:rsidRPr="009E06C2">
        <w:rPr>
          <w:rFonts w:asciiTheme="minorHAnsi" w:hAnsiTheme="minorHAnsi" w:cstheme="minorHAnsi"/>
          <w:i/>
          <w:iCs/>
          <w:sz w:val="22"/>
          <w:szCs w:val="22"/>
          <w14:ligatures w14:val="none"/>
        </w:rPr>
        <w:t xml:space="preserve"> 8</w:t>
      </w:r>
      <w:r w:rsidRPr="009E06C2">
        <w:rPr>
          <w:rFonts w:asciiTheme="minorHAnsi" w:hAnsiTheme="minorHAnsi" w:cstheme="minorHAnsi"/>
          <w:i/>
          <w:iCs/>
          <w:sz w:val="22"/>
          <w:szCs w:val="22"/>
          <w14:ligatures w14:val="none"/>
        </w:rPr>
        <w:t xml:space="preserve"> of the </w:t>
      </w:r>
      <w:r w:rsidR="00DF5E9A" w:rsidRPr="009E06C2">
        <w:rPr>
          <w:rFonts w:asciiTheme="minorHAnsi" w:hAnsiTheme="minorHAnsi" w:cstheme="minorHAnsi"/>
          <w:i/>
          <w:iCs/>
          <w:sz w:val="22"/>
          <w:szCs w:val="22"/>
          <w14:ligatures w14:val="none"/>
        </w:rPr>
        <w:t xml:space="preserve">eleven </w:t>
      </w:r>
      <w:r w:rsidRPr="009E06C2">
        <w:rPr>
          <w:rFonts w:asciiTheme="minorHAnsi" w:hAnsiTheme="minorHAnsi" w:cstheme="minorHAnsi"/>
          <w:i/>
          <w:iCs/>
          <w:sz w:val="22"/>
          <w:szCs w:val="22"/>
          <w14:ligatures w14:val="none"/>
        </w:rPr>
        <w:t xml:space="preserve">11 records reviewed. The absence of a structured assessment had not been recorded as an ‘Incident’, for any of these records, despite the absence of a formal record of assessment potentially leading to a risk of medicines being administered unlawfully’. </w:t>
      </w:r>
    </w:p>
    <w:p w14:paraId="35A86BCD" w14:textId="77777777" w:rsidR="003C4861" w:rsidRPr="009E06C2" w:rsidRDefault="003C4861" w:rsidP="003C4861">
      <w:pPr>
        <w:pStyle w:val="BodyCopy"/>
        <w:widowControl w:val="0"/>
        <w:spacing w:after="0" w:line="240" w:lineRule="auto"/>
        <w:ind w:left="720"/>
        <w:jc w:val="both"/>
        <w:rPr>
          <w:rFonts w:asciiTheme="minorHAnsi" w:hAnsiTheme="minorHAnsi" w:cstheme="minorHAnsi"/>
          <w:i/>
          <w:iCs/>
          <w:sz w:val="22"/>
          <w:szCs w:val="22"/>
          <w14:ligatures w14:val="none"/>
        </w:rPr>
      </w:pPr>
    </w:p>
    <w:p w14:paraId="40FE0E27" w14:textId="6F3BB2BB" w:rsidR="00D2152D" w:rsidRPr="009E06C2" w:rsidRDefault="00AA22CB" w:rsidP="003C4861">
      <w:pPr>
        <w:pStyle w:val="BodyCopy"/>
        <w:widowControl w:val="0"/>
        <w:spacing w:after="0" w:line="240" w:lineRule="auto"/>
        <w:jc w:val="both"/>
        <w:rPr>
          <w:rFonts w:asciiTheme="minorHAnsi" w:hAnsiTheme="minorHAnsi" w:cstheme="minorHAnsi"/>
          <w:sz w:val="22"/>
          <w:szCs w:val="22"/>
          <w14:ligatures w14:val="none"/>
        </w:rPr>
      </w:pPr>
      <w:proofErr w:type="gramStart"/>
      <w:r>
        <w:rPr>
          <w:rFonts w:asciiTheme="minorHAnsi" w:hAnsiTheme="minorHAnsi" w:cstheme="minorHAnsi"/>
          <w:sz w:val="22"/>
          <w:szCs w:val="22"/>
          <w14:ligatures w14:val="none"/>
        </w:rPr>
        <w:t>A</w:t>
      </w:r>
      <w:r w:rsidR="00D2152D" w:rsidRPr="009E06C2">
        <w:rPr>
          <w:rFonts w:asciiTheme="minorHAnsi" w:hAnsiTheme="minorHAnsi" w:cstheme="minorHAnsi"/>
          <w:sz w:val="22"/>
          <w:szCs w:val="22"/>
          <w14:ligatures w14:val="none"/>
        </w:rPr>
        <w:t>nd</w:t>
      </w:r>
      <w:r w:rsidR="00DF5E9A" w:rsidRPr="009E06C2">
        <w:rPr>
          <w:rFonts w:asciiTheme="minorHAnsi" w:hAnsiTheme="minorHAnsi" w:cstheme="minorHAnsi"/>
          <w:sz w:val="22"/>
          <w:szCs w:val="22"/>
          <w14:ligatures w14:val="none"/>
        </w:rPr>
        <w:t>,</w:t>
      </w:r>
      <w:proofErr w:type="gramEnd"/>
      <w:r w:rsidR="00D2152D" w:rsidRPr="009E06C2">
        <w:rPr>
          <w:rFonts w:asciiTheme="minorHAnsi" w:hAnsiTheme="minorHAnsi" w:cstheme="minorHAnsi"/>
          <w:sz w:val="22"/>
          <w:szCs w:val="22"/>
          <w14:ligatures w14:val="none"/>
        </w:rPr>
        <w:t xml:space="preserve"> what should strike </w:t>
      </w:r>
      <w:r w:rsidR="0022585C" w:rsidRPr="009E06C2">
        <w:rPr>
          <w:rFonts w:asciiTheme="minorHAnsi" w:hAnsiTheme="minorHAnsi" w:cstheme="minorHAnsi"/>
          <w:sz w:val="22"/>
          <w:szCs w:val="22"/>
          <w14:ligatures w14:val="none"/>
        </w:rPr>
        <w:t xml:space="preserve">alarm </w:t>
      </w:r>
      <w:r w:rsidR="00D2152D" w:rsidRPr="009E06C2">
        <w:rPr>
          <w:rFonts w:asciiTheme="minorHAnsi" w:hAnsiTheme="minorHAnsi" w:cstheme="minorHAnsi"/>
          <w:sz w:val="22"/>
          <w:szCs w:val="22"/>
          <w14:ligatures w14:val="none"/>
        </w:rPr>
        <w:t>in any parent or clinician’s heart:</w:t>
      </w:r>
    </w:p>
    <w:p w14:paraId="6D71CAED" w14:textId="77777777" w:rsidR="00D2152D" w:rsidRPr="009E06C2" w:rsidRDefault="00D2152D" w:rsidP="003C4861">
      <w:pPr>
        <w:pStyle w:val="BodyCopy"/>
        <w:widowControl w:val="0"/>
        <w:spacing w:after="0" w:line="240" w:lineRule="auto"/>
        <w:ind w:left="720"/>
        <w:jc w:val="both"/>
        <w:rPr>
          <w:rFonts w:asciiTheme="minorHAnsi" w:hAnsiTheme="minorHAnsi" w:cstheme="minorHAnsi"/>
          <w:i/>
          <w:iCs/>
          <w:sz w:val="22"/>
          <w:szCs w:val="22"/>
          <w14:ligatures w14:val="none"/>
        </w:rPr>
      </w:pPr>
      <w:r w:rsidRPr="009E06C2">
        <w:rPr>
          <w:rFonts w:asciiTheme="minorHAnsi" w:hAnsiTheme="minorHAnsi" w:cstheme="minorHAnsi"/>
          <w:i/>
          <w:iCs/>
          <w:sz w:val="22"/>
          <w:szCs w:val="22"/>
          <w14:ligatures w14:val="none"/>
        </w:rPr>
        <w:t xml:space="preserve">‘Staff’s </w:t>
      </w:r>
      <w:r w:rsidRPr="009E06C2">
        <w:rPr>
          <w:rFonts w:asciiTheme="minorHAnsi" w:hAnsiTheme="minorHAnsi" w:cstheme="minorHAnsi"/>
          <w:i/>
          <w:iCs/>
          <w:color w:val="auto"/>
          <w:sz w:val="22"/>
          <w:szCs w:val="22"/>
          <w14:ligatures w14:val="none"/>
        </w:rPr>
        <w:t>assessments of patients were unstructured, inconsistent</w:t>
      </w:r>
      <w:r w:rsidRPr="009E06C2">
        <w:rPr>
          <w:rFonts w:asciiTheme="minorHAnsi" w:hAnsiTheme="minorHAnsi" w:cstheme="minorHAnsi"/>
          <w:b/>
          <w:bCs/>
          <w:i/>
          <w:iCs/>
          <w:color w:val="004D73"/>
          <w:sz w:val="22"/>
          <w:szCs w:val="22"/>
          <w14:ligatures w14:val="none"/>
        </w:rPr>
        <w:t xml:space="preserve"> </w:t>
      </w:r>
      <w:r w:rsidRPr="009E06C2">
        <w:rPr>
          <w:rFonts w:asciiTheme="minorHAnsi" w:hAnsiTheme="minorHAnsi" w:cstheme="minorHAnsi"/>
          <w:i/>
          <w:iCs/>
          <w:sz w:val="22"/>
          <w:szCs w:val="22"/>
          <w14:ligatures w14:val="none"/>
        </w:rPr>
        <w:t xml:space="preserve">and poorly recorded. Staff did not sufficiently record their reasoning in reaching clinical decisions. There were significant variations in the clinical approach of professionals in the team and it was not possible to clearly understand from the records why these decisions had been made’. </w:t>
      </w:r>
    </w:p>
    <w:p w14:paraId="4182E15B" w14:textId="193C7A3B" w:rsidR="00D2152D" w:rsidRDefault="00D2152D" w:rsidP="003C4861">
      <w:pPr>
        <w:pStyle w:val="BodyCopy"/>
        <w:widowControl w:val="0"/>
        <w:spacing w:after="0" w:line="240" w:lineRule="auto"/>
        <w:jc w:val="both"/>
        <w:rPr>
          <w:rFonts w:asciiTheme="minorHAnsi" w:hAnsiTheme="minorHAnsi" w:cstheme="minorHAnsi"/>
          <w:sz w:val="22"/>
          <w:szCs w:val="22"/>
          <w14:ligatures w14:val="none"/>
        </w:rPr>
      </w:pPr>
      <w:proofErr w:type="spellStart"/>
      <w:r w:rsidRPr="009E06C2">
        <w:rPr>
          <w:rFonts w:asciiTheme="minorHAnsi" w:hAnsiTheme="minorHAnsi" w:cstheme="minorHAnsi"/>
          <w:sz w:val="22"/>
          <w:szCs w:val="22"/>
          <w14:ligatures w14:val="none"/>
        </w:rPr>
        <w:t>ie</w:t>
      </w:r>
      <w:proofErr w:type="spellEnd"/>
      <w:r w:rsidRPr="009E06C2">
        <w:rPr>
          <w:rFonts w:asciiTheme="minorHAnsi" w:hAnsiTheme="minorHAnsi" w:cstheme="minorHAnsi"/>
          <w:sz w:val="22"/>
          <w:szCs w:val="22"/>
          <w14:ligatures w14:val="none"/>
        </w:rPr>
        <w:t>: client assessments were poor</w:t>
      </w:r>
      <w:r w:rsidR="002706A9" w:rsidRPr="009E06C2">
        <w:rPr>
          <w:rFonts w:asciiTheme="minorHAnsi" w:hAnsiTheme="minorHAnsi" w:cstheme="minorHAnsi"/>
          <w:sz w:val="22"/>
          <w:szCs w:val="22"/>
          <w14:ligatures w14:val="none"/>
        </w:rPr>
        <w:t>,</w:t>
      </w:r>
      <w:r w:rsidRPr="009E06C2">
        <w:rPr>
          <w:rFonts w:asciiTheme="minorHAnsi" w:hAnsiTheme="minorHAnsi" w:cstheme="minorHAnsi"/>
          <w:sz w:val="22"/>
          <w:szCs w:val="22"/>
          <w14:ligatures w14:val="none"/>
        </w:rPr>
        <w:t xml:space="preserve"> and governance didn't notice. And:</w:t>
      </w:r>
    </w:p>
    <w:p w14:paraId="4029EC58" w14:textId="77777777" w:rsidR="003C4861" w:rsidRPr="009E06C2" w:rsidRDefault="003C4861" w:rsidP="003C4861">
      <w:pPr>
        <w:pStyle w:val="BodyCopy"/>
        <w:widowControl w:val="0"/>
        <w:spacing w:after="0" w:line="240" w:lineRule="auto"/>
        <w:jc w:val="both"/>
        <w:rPr>
          <w:rFonts w:asciiTheme="minorHAnsi" w:hAnsiTheme="minorHAnsi" w:cstheme="minorHAnsi"/>
          <w:sz w:val="22"/>
          <w:szCs w:val="22"/>
          <w14:ligatures w14:val="none"/>
        </w:rPr>
      </w:pPr>
    </w:p>
    <w:p w14:paraId="550C3241" w14:textId="77777777" w:rsidR="00D2152D" w:rsidRPr="009E06C2" w:rsidRDefault="00D2152D" w:rsidP="003C4861">
      <w:pPr>
        <w:pStyle w:val="BodyCopy"/>
        <w:widowControl w:val="0"/>
        <w:spacing w:after="0" w:line="240" w:lineRule="auto"/>
        <w:ind w:left="720"/>
        <w:jc w:val="both"/>
        <w:rPr>
          <w:rFonts w:asciiTheme="minorHAnsi" w:hAnsiTheme="minorHAnsi" w:cstheme="minorHAnsi"/>
          <w:b/>
          <w:bCs/>
          <w:i/>
          <w:iCs/>
          <w:color w:val="004D73"/>
          <w:sz w:val="22"/>
          <w:szCs w:val="22"/>
          <w14:ligatures w14:val="none"/>
        </w:rPr>
      </w:pPr>
      <w:r w:rsidRPr="009E06C2">
        <w:rPr>
          <w:rFonts w:asciiTheme="minorHAnsi" w:hAnsiTheme="minorHAnsi" w:cstheme="minorHAnsi"/>
          <w:i/>
          <w:iCs/>
          <w:sz w:val="22"/>
          <w:szCs w:val="22"/>
          <w14:ligatures w14:val="none"/>
        </w:rPr>
        <w:t xml:space="preserve">‘Staff did not develop care plans for young people. Many records provided insufficient evidence of staff considering the specific needs of young people, such as </w:t>
      </w:r>
      <w:r w:rsidRPr="009E0F69">
        <w:rPr>
          <w:rFonts w:asciiTheme="minorHAnsi" w:hAnsiTheme="minorHAnsi" w:cstheme="minorHAnsi"/>
          <w:i/>
          <w:iCs/>
          <w:color w:val="auto"/>
          <w:sz w:val="22"/>
          <w:szCs w:val="22"/>
          <w14:ligatures w14:val="none"/>
        </w:rPr>
        <w:t xml:space="preserve">autistic spectrum </w:t>
      </w:r>
      <w:proofErr w:type="gramStart"/>
      <w:r w:rsidRPr="009E0F69">
        <w:rPr>
          <w:rFonts w:asciiTheme="minorHAnsi" w:hAnsiTheme="minorHAnsi" w:cstheme="minorHAnsi"/>
          <w:i/>
          <w:iCs/>
          <w:color w:val="auto"/>
          <w:sz w:val="22"/>
          <w:szCs w:val="22"/>
          <w14:ligatures w14:val="none"/>
        </w:rPr>
        <w:t>disorders’</w:t>
      </w:r>
      <w:proofErr w:type="gramEnd"/>
      <w:r w:rsidRPr="009E0F69">
        <w:rPr>
          <w:rFonts w:asciiTheme="minorHAnsi" w:hAnsiTheme="minorHAnsi" w:cstheme="minorHAnsi"/>
          <w:i/>
          <w:iCs/>
          <w:color w:val="auto"/>
          <w:sz w:val="22"/>
          <w:szCs w:val="22"/>
          <w14:ligatures w14:val="none"/>
        </w:rPr>
        <w:t>.</w:t>
      </w:r>
      <w:r w:rsidRPr="009E0F69">
        <w:rPr>
          <w:rFonts w:asciiTheme="minorHAnsi" w:hAnsiTheme="minorHAnsi" w:cstheme="minorHAnsi"/>
          <w:b/>
          <w:bCs/>
          <w:i/>
          <w:iCs/>
          <w:color w:val="auto"/>
          <w:sz w:val="22"/>
          <w:szCs w:val="22"/>
          <w14:ligatures w14:val="none"/>
        </w:rPr>
        <w:t xml:space="preserve"> </w:t>
      </w:r>
    </w:p>
    <w:p w14:paraId="7A900130" w14:textId="722959BD" w:rsidR="00D2152D" w:rsidRDefault="00D2152D" w:rsidP="003C4861">
      <w:pPr>
        <w:pStyle w:val="BodyCopy"/>
        <w:widowControl w:val="0"/>
        <w:spacing w:after="0" w:line="240" w:lineRule="auto"/>
        <w:jc w:val="both"/>
        <w:rPr>
          <w:rFonts w:asciiTheme="minorHAnsi" w:hAnsiTheme="minorHAnsi" w:cstheme="minorHAnsi"/>
          <w:sz w:val="22"/>
          <w:szCs w:val="22"/>
          <w14:ligatures w14:val="none"/>
        </w:rPr>
      </w:pPr>
      <w:r w:rsidRPr="009E06C2">
        <w:rPr>
          <w:rFonts w:asciiTheme="minorHAnsi" w:hAnsiTheme="minorHAnsi" w:cstheme="minorHAnsi"/>
          <w:sz w:val="22"/>
          <w:szCs w:val="22"/>
          <w14:ligatures w14:val="none"/>
        </w:rPr>
        <w:t xml:space="preserve">The NHS announced closure of the service following paediatrician Dr. Hilary Cass’s </w:t>
      </w:r>
      <w:r w:rsidR="00765CC4" w:rsidRPr="009E06C2">
        <w:rPr>
          <w:rFonts w:asciiTheme="minorHAnsi" w:hAnsiTheme="minorHAnsi" w:cstheme="minorHAnsi"/>
          <w:sz w:val="22"/>
          <w:szCs w:val="22"/>
          <w14:ligatures w14:val="none"/>
        </w:rPr>
        <w:t xml:space="preserve">subsequent </w:t>
      </w:r>
      <w:r w:rsidRPr="009E06C2">
        <w:rPr>
          <w:rFonts w:asciiTheme="minorHAnsi" w:hAnsiTheme="minorHAnsi" w:cstheme="minorHAnsi"/>
          <w:sz w:val="22"/>
          <w:szCs w:val="22"/>
          <w14:ligatures w14:val="none"/>
        </w:rPr>
        <w:t xml:space="preserve">independent review and </w:t>
      </w:r>
      <w:r w:rsidR="00800C63" w:rsidRPr="009E06C2">
        <w:rPr>
          <w:rFonts w:asciiTheme="minorHAnsi" w:hAnsiTheme="minorHAnsi" w:cstheme="minorHAnsi"/>
          <w:sz w:val="22"/>
          <w:szCs w:val="22"/>
          <w14:ligatures w14:val="none"/>
        </w:rPr>
        <w:t xml:space="preserve">highly critical </w:t>
      </w:r>
      <w:r w:rsidRPr="009E06C2">
        <w:rPr>
          <w:rFonts w:asciiTheme="minorHAnsi" w:hAnsiTheme="minorHAnsi" w:cstheme="minorHAnsi"/>
          <w:sz w:val="22"/>
          <w:szCs w:val="22"/>
          <w14:ligatures w14:val="none"/>
        </w:rPr>
        <w:t xml:space="preserve">interim report. </w:t>
      </w:r>
      <w:r w:rsidR="00765CC4" w:rsidRPr="009E06C2">
        <w:rPr>
          <w:rFonts w:asciiTheme="minorHAnsi" w:hAnsiTheme="minorHAnsi" w:cstheme="minorHAnsi"/>
          <w:sz w:val="22"/>
          <w:szCs w:val="22"/>
          <w14:ligatures w14:val="none"/>
        </w:rPr>
        <w:t xml:space="preserve">Hilary Cass had also observed that one third of children referred to the </w:t>
      </w:r>
      <w:proofErr w:type="spellStart"/>
      <w:r w:rsidR="00765CC4" w:rsidRPr="009E06C2">
        <w:rPr>
          <w:rFonts w:asciiTheme="minorHAnsi" w:hAnsiTheme="minorHAnsi" w:cstheme="minorHAnsi"/>
          <w:sz w:val="22"/>
          <w:szCs w:val="22"/>
          <w14:ligatures w14:val="none"/>
        </w:rPr>
        <w:t>Tavistock</w:t>
      </w:r>
      <w:proofErr w:type="spellEnd"/>
      <w:r w:rsidR="00765CC4" w:rsidRPr="009E06C2">
        <w:rPr>
          <w:rFonts w:asciiTheme="minorHAnsi" w:hAnsiTheme="minorHAnsi" w:cstheme="minorHAnsi"/>
          <w:sz w:val="22"/>
          <w:szCs w:val="22"/>
          <w14:ligatures w14:val="none"/>
        </w:rPr>
        <w:t xml:space="preserve"> service had autism or another type of neurodiversity. </w:t>
      </w:r>
    </w:p>
    <w:p w14:paraId="4A7F8DE1" w14:textId="77777777" w:rsidR="009F2E4A" w:rsidRDefault="009F2E4A" w:rsidP="009F2E4A">
      <w:pPr>
        <w:pStyle w:val="InsideStoryHeadline"/>
        <w:widowControl w:val="0"/>
        <w:rPr>
          <w:rFonts w:asciiTheme="minorHAnsi" w:hAnsiTheme="minorHAnsi" w:cstheme="minorHAnsi"/>
          <w:b/>
          <w:bCs/>
          <w:color w:val="006699"/>
          <w:sz w:val="22"/>
          <w:szCs w:val="22"/>
          <w:lang w:val="en-US"/>
          <w14:ligatures w14:val="none"/>
        </w:rPr>
      </w:pPr>
    </w:p>
    <w:p w14:paraId="283DD90B" w14:textId="0789BF61" w:rsidR="0022585C" w:rsidRPr="009E06C2" w:rsidRDefault="00D2152D" w:rsidP="009F2E4A">
      <w:pPr>
        <w:pStyle w:val="InsideStoryHeadline"/>
        <w:widowControl w:val="0"/>
        <w:rPr>
          <w:rFonts w:asciiTheme="minorHAnsi" w:hAnsiTheme="minorHAnsi" w:cstheme="minorHAnsi"/>
          <w:b/>
          <w:bCs/>
          <w:color w:val="006699"/>
          <w:sz w:val="22"/>
          <w:szCs w:val="22"/>
          <w:lang w:val="en-US"/>
          <w14:ligatures w14:val="none"/>
        </w:rPr>
      </w:pPr>
      <w:r w:rsidRPr="009E06C2">
        <w:rPr>
          <w:rFonts w:asciiTheme="minorHAnsi" w:hAnsiTheme="minorHAnsi" w:cstheme="minorHAnsi"/>
          <w:b/>
          <w:bCs/>
          <w:color w:val="006699"/>
          <w:sz w:val="22"/>
          <w:szCs w:val="22"/>
          <w:lang w:val="en-US"/>
          <w14:ligatures w14:val="none"/>
        </w:rPr>
        <w:t xml:space="preserve">What is Gender </w:t>
      </w:r>
      <w:proofErr w:type="gramStart"/>
      <w:r w:rsidRPr="009E06C2">
        <w:rPr>
          <w:rFonts w:asciiTheme="minorHAnsi" w:hAnsiTheme="minorHAnsi" w:cstheme="minorHAnsi"/>
          <w:b/>
          <w:bCs/>
          <w:color w:val="006699"/>
          <w:sz w:val="22"/>
          <w:szCs w:val="22"/>
          <w:lang w:val="en-US"/>
          <w14:ligatures w14:val="none"/>
        </w:rPr>
        <w:t>Dysphoria ?</w:t>
      </w:r>
      <w:proofErr w:type="gramEnd"/>
      <w:r w:rsidRPr="009E06C2">
        <w:rPr>
          <w:rFonts w:asciiTheme="minorHAnsi" w:hAnsiTheme="minorHAnsi" w:cstheme="minorHAnsi"/>
          <w:b/>
          <w:bCs/>
          <w:color w:val="006699"/>
          <w:sz w:val="22"/>
          <w:szCs w:val="22"/>
          <w:lang w:val="en-US"/>
          <w14:ligatures w14:val="none"/>
        </w:rPr>
        <w:t xml:space="preserve">   </w:t>
      </w:r>
    </w:p>
    <w:p w14:paraId="6FC83194" w14:textId="10A457E9" w:rsidR="00D2152D" w:rsidRPr="009E06C2" w:rsidRDefault="00D2152D" w:rsidP="009F2E4A">
      <w:pPr>
        <w:pStyle w:val="InsideStoryHeadline"/>
        <w:widowControl w:val="0"/>
        <w:rPr>
          <w:rFonts w:asciiTheme="minorHAnsi" w:hAnsiTheme="minorHAnsi" w:cstheme="minorHAnsi"/>
          <w:b/>
          <w:bCs/>
          <w:sz w:val="22"/>
          <w:szCs w:val="22"/>
          <w14:ligatures w14:val="none"/>
        </w:rPr>
      </w:pPr>
      <w:r w:rsidRPr="009E06C2">
        <w:rPr>
          <w:rFonts w:asciiTheme="minorHAnsi" w:hAnsiTheme="minorHAnsi" w:cstheme="minorHAnsi"/>
          <w:b/>
          <w:bCs/>
          <w:color w:val="006699"/>
          <w:sz w:val="22"/>
          <w:szCs w:val="22"/>
          <w:lang w:val="en-US"/>
          <w14:ligatures w14:val="none"/>
        </w:rPr>
        <w:t xml:space="preserve">See Australian Catholic Bishops discussion of terms </w:t>
      </w:r>
      <w:hyperlink r:id="rId9" w:history="1">
        <w:r w:rsidR="00800C63" w:rsidRPr="009E06C2">
          <w:rPr>
            <w:rStyle w:val="Hyperlink"/>
            <w:rFonts w:asciiTheme="minorHAnsi" w:hAnsiTheme="minorHAnsi" w:cstheme="minorHAnsi"/>
            <w:b/>
            <w:bCs/>
            <w:color w:val="21759B"/>
            <w:sz w:val="22"/>
            <w:szCs w:val="22"/>
            <w:bdr w:val="none" w:sz="0" w:space="0" w:color="auto" w:frame="1"/>
            <w:shd w:val="clear" w:color="auto" w:fill="FFFFFF"/>
          </w:rPr>
          <w:t>https://bit.ly/CreatedandLoved</w:t>
        </w:r>
      </w:hyperlink>
      <w:r w:rsidRPr="009E06C2">
        <w:rPr>
          <w:rFonts w:asciiTheme="minorHAnsi" w:hAnsiTheme="minorHAnsi" w:cstheme="minorHAnsi"/>
          <w:b/>
          <w:bCs/>
          <w:sz w:val="22"/>
          <w:szCs w:val="22"/>
          <w14:ligatures w14:val="none"/>
        </w:rPr>
        <w:t> </w:t>
      </w:r>
    </w:p>
    <w:p w14:paraId="6271F289" w14:textId="3E343A28" w:rsidR="00765CC4" w:rsidRPr="009E06C2" w:rsidRDefault="00D2152D" w:rsidP="009F2E4A">
      <w:pPr>
        <w:widowControl w:val="0"/>
        <w:spacing w:line="240" w:lineRule="auto"/>
        <w:jc w:val="both"/>
        <w:rPr>
          <w:rFonts w:asciiTheme="minorHAnsi" w:hAnsiTheme="minorHAnsi" w:cstheme="minorHAnsi"/>
          <w:color w:val="000000" w:themeColor="text1"/>
          <w:sz w:val="22"/>
          <w:szCs w:val="22"/>
          <w14:ligatures w14:val="none"/>
        </w:rPr>
      </w:pPr>
      <w:r w:rsidRPr="009E06C2">
        <w:rPr>
          <w:rFonts w:asciiTheme="minorHAnsi" w:hAnsiTheme="minorHAnsi" w:cstheme="minorHAnsi"/>
          <w:sz w:val="22"/>
          <w:szCs w:val="22"/>
          <w14:ligatures w14:val="none"/>
        </w:rPr>
        <w:t xml:space="preserve">The sex of a child is now described medically (by the American Psychiatric Association, the Mayo clinic and the Melbourne Children’s Hospital etc) as ‘assigned at birth’. However, </w:t>
      </w:r>
      <w:r w:rsidR="00765CC4" w:rsidRPr="009E06C2">
        <w:rPr>
          <w:rFonts w:asciiTheme="minorHAnsi" w:hAnsiTheme="minorHAnsi" w:cstheme="minorHAnsi"/>
          <w:sz w:val="22"/>
          <w:szCs w:val="22"/>
          <w14:ligatures w14:val="none"/>
        </w:rPr>
        <w:t xml:space="preserve">we </w:t>
      </w:r>
      <w:r w:rsidRPr="009E06C2">
        <w:rPr>
          <w:rFonts w:asciiTheme="minorHAnsi" w:hAnsiTheme="minorHAnsi" w:cstheme="minorHAnsi"/>
          <w:sz w:val="22"/>
          <w:szCs w:val="22"/>
          <w14:ligatures w14:val="none"/>
        </w:rPr>
        <w:t>obstetricians do not assign sex. We observe it.</w:t>
      </w:r>
      <w:r w:rsidR="003F67AE" w:rsidRPr="009E06C2">
        <w:rPr>
          <w:rStyle w:val="FootnoteReference"/>
          <w:rFonts w:asciiTheme="minorHAnsi" w:hAnsiTheme="minorHAnsi" w:cstheme="minorHAnsi"/>
          <w:sz w:val="22"/>
          <w:szCs w:val="22"/>
          <w14:ligatures w14:val="none"/>
        </w:rPr>
        <w:footnoteReference w:id="4"/>
      </w:r>
      <w:r w:rsidRPr="009E06C2">
        <w:rPr>
          <w:rFonts w:asciiTheme="minorHAnsi" w:hAnsiTheme="minorHAnsi" w:cstheme="minorHAnsi"/>
          <w:sz w:val="22"/>
          <w:szCs w:val="22"/>
          <w14:ligatures w14:val="none"/>
        </w:rPr>
        <w:t xml:space="preserve"> The term Gender Dysphoria refers to a level of distress that impairs functioning when there is an incongruence experienced between the observed sex and gender identity. However, some current concepts of gender identity have been more recently developed, with stereotypes, variances, </w:t>
      </w:r>
      <w:proofErr w:type="gramStart"/>
      <w:r w:rsidRPr="009E06C2">
        <w:rPr>
          <w:rFonts w:asciiTheme="minorHAnsi" w:hAnsiTheme="minorHAnsi" w:cstheme="minorHAnsi"/>
          <w:sz w:val="22"/>
          <w:szCs w:val="22"/>
          <w14:ligatures w14:val="none"/>
        </w:rPr>
        <w:t>norms</w:t>
      </w:r>
      <w:proofErr w:type="gramEnd"/>
      <w:r w:rsidRPr="009E06C2">
        <w:rPr>
          <w:rFonts w:asciiTheme="minorHAnsi" w:hAnsiTheme="minorHAnsi" w:cstheme="minorHAnsi"/>
          <w:sz w:val="22"/>
          <w:szCs w:val="22"/>
          <w14:ligatures w14:val="none"/>
        </w:rPr>
        <w:t xml:space="preserve"> and delineating behaviours contributing towards categorization of persons. The irony here is that gender identity itself can become ‘assigned’ by modern theories. What it is to be </w:t>
      </w:r>
      <w:proofErr w:type="gramStart"/>
      <w:r w:rsidRPr="009E06C2">
        <w:rPr>
          <w:rFonts w:asciiTheme="minorHAnsi" w:hAnsiTheme="minorHAnsi" w:cstheme="minorHAnsi"/>
          <w:sz w:val="22"/>
          <w:szCs w:val="22"/>
          <w14:ligatures w14:val="none"/>
        </w:rPr>
        <w:t>male</w:t>
      </w:r>
      <w:proofErr w:type="gramEnd"/>
      <w:r w:rsidRPr="009E06C2">
        <w:rPr>
          <w:rFonts w:asciiTheme="minorHAnsi" w:hAnsiTheme="minorHAnsi" w:cstheme="minorHAnsi"/>
          <w:sz w:val="22"/>
          <w:szCs w:val="22"/>
          <w14:ligatures w14:val="none"/>
        </w:rPr>
        <w:t xml:space="preserve"> or female has a natural breadth and depth of human variation and personality, but can now be filed and sub</w:t>
      </w:r>
      <w:r w:rsidR="00B95215">
        <w:rPr>
          <w:rFonts w:asciiTheme="minorHAnsi" w:hAnsiTheme="minorHAnsi" w:cstheme="minorHAnsi"/>
          <w:sz w:val="22"/>
          <w:szCs w:val="22"/>
          <w14:ligatures w14:val="none"/>
        </w:rPr>
        <w:t>-</w:t>
      </w:r>
      <w:r w:rsidRPr="009E06C2">
        <w:rPr>
          <w:rFonts w:asciiTheme="minorHAnsi" w:hAnsiTheme="minorHAnsi" w:cstheme="minorHAnsi"/>
          <w:sz w:val="22"/>
          <w:szCs w:val="22"/>
          <w14:ligatures w14:val="none"/>
        </w:rPr>
        <w:t xml:space="preserve">filed, defining and delineating an individual. Children today are growing up in an era of emphasis on their categorization in both social </w:t>
      </w:r>
      <w:r w:rsidR="00FD3C8A" w:rsidRPr="009E06C2">
        <w:rPr>
          <w:rFonts w:asciiTheme="minorHAnsi" w:hAnsiTheme="minorHAnsi" w:cstheme="minorHAnsi"/>
          <w:sz w:val="22"/>
          <w:szCs w:val="22"/>
          <w14:ligatures w14:val="none"/>
        </w:rPr>
        <w:t xml:space="preserve">media culture </w:t>
      </w:r>
      <w:r w:rsidRPr="009E06C2">
        <w:rPr>
          <w:rFonts w:asciiTheme="minorHAnsi" w:hAnsiTheme="minorHAnsi" w:cstheme="minorHAnsi"/>
          <w:sz w:val="22"/>
          <w:szCs w:val="22"/>
          <w14:ligatures w14:val="none"/>
        </w:rPr>
        <w:t>and educational contexts</w:t>
      </w:r>
      <w:r w:rsidRPr="009E06C2">
        <w:rPr>
          <w:rFonts w:asciiTheme="minorHAnsi" w:hAnsiTheme="minorHAnsi" w:cstheme="minorHAnsi"/>
          <w:color w:val="000000" w:themeColor="text1"/>
          <w:sz w:val="22"/>
          <w:szCs w:val="22"/>
          <w14:ligatures w14:val="none"/>
        </w:rPr>
        <w:t xml:space="preserve">. </w:t>
      </w:r>
    </w:p>
    <w:p w14:paraId="7E9BC5A9" w14:textId="14E8909B" w:rsidR="0072076B" w:rsidRPr="009E06C2" w:rsidRDefault="00D2152D" w:rsidP="009F2E4A">
      <w:pPr>
        <w:widowControl w:val="0"/>
        <w:spacing w:line="240" w:lineRule="auto"/>
        <w:jc w:val="both"/>
        <w:rPr>
          <w:rFonts w:asciiTheme="minorHAnsi" w:hAnsiTheme="minorHAnsi" w:cstheme="minorHAnsi"/>
          <w:color w:val="000000" w:themeColor="text1"/>
          <w:sz w:val="22"/>
          <w:szCs w:val="22"/>
          <w14:ligatures w14:val="none"/>
        </w:rPr>
      </w:pPr>
      <w:r w:rsidRPr="009E06C2">
        <w:rPr>
          <w:rFonts w:asciiTheme="minorHAnsi" w:hAnsiTheme="minorHAnsi" w:cstheme="minorHAnsi"/>
          <w:color w:val="000000" w:themeColor="text1"/>
          <w:sz w:val="22"/>
          <w:szCs w:val="22"/>
          <w14:ligatures w14:val="none"/>
        </w:rPr>
        <w:t xml:space="preserve"> </w:t>
      </w:r>
      <w:r w:rsidR="00FD3C8A" w:rsidRPr="009E06C2">
        <w:rPr>
          <w:rFonts w:asciiTheme="minorHAnsi" w:hAnsiTheme="minorHAnsi" w:cstheme="minorHAnsi"/>
          <w:color w:val="000000" w:themeColor="text1"/>
          <w:sz w:val="22"/>
          <w:szCs w:val="22"/>
          <w14:ligatures w14:val="none"/>
        </w:rPr>
        <w:t xml:space="preserve">The </w:t>
      </w:r>
      <w:r w:rsidRPr="009E06C2">
        <w:rPr>
          <w:rFonts w:asciiTheme="minorHAnsi" w:hAnsiTheme="minorHAnsi" w:cstheme="minorHAnsi"/>
          <w:color w:val="000000" w:themeColor="text1"/>
          <w:sz w:val="22"/>
          <w:szCs w:val="22"/>
          <w14:ligatures w14:val="none"/>
        </w:rPr>
        <w:t xml:space="preserve">Australian Catholic Bishops </w:t>
      </w:r>
      <w:r w:rsidR="00FD3C8A" w:rsidRPr="009E06C2">
        <w:rPr>
          <w:rFonts w:asciiTheme="minorHAnsi" w:hAnsiTheme="minorHAnsi" w:cstheme="minorHAnsi"/>
          <w:color w:val="000000" w:themeColor="text1"/>
          <w:sz w:val="22"/>
          <w:szCs w:val="22"/>
          <w14:ligatures w14:val="none"/>
        </w:rPr>
        <w:t xml:space="preserve">guidance has commented on this phenomenon: </w:t>
      </w:r>
      <w:r w:rsidRPr="009E06C2">
        <w:rPr>
          <w:rFonts w:asciiTheme="minorHAnsi" w:hAnsiTheme="minorHAnsi" w:cstheme="minorHAnsi"/>
          <w:color w:val="000000" w:themeColor="text1"/>
          <w:sz w:val="22"/>
          <w:szCs w:val="22"/>
          <w14:ligatures w14:val="none"/>
        </w:rPr>
        <w:t xml:space="preserve"> </w:t>
      </w:r>
    </w:p>
    <w:p w14:paraId="715B030D" w14:textId="39005A08" w:rsidR="00D2152D" w:rsidRPr="00187F92" w:rsidRDefault="00D2152D" w:rsidP="00E12CA5">
      <w:pPr>
        <w:widowControl w:val="0"/>
        <w:spacing w:line="240" w:lineRule="auto"/>
        <w:ind w:left="720"/>
        <w:jc w:val="both"/>
        <w:rPr>
          <w:rFonts w:asciiTheme="minorHAnsi" w:hAnsiTheme="minorHAnsi" w:cstheme="minorHAnsi"/>
          <w:b/>
          <w:bCs/>
          <w:i/>
          <w:iCs/>
          <w:color w:val="2F5496" w:themeColor="accent1" w:themeShade="BF"/>
          <w:sz w:val="22"/>
          <w:szCs w:val="22"/>
          <w14:ligatures w14:val="none"/>
        </w:rPr>
      </w:pPr>
      <w:r w:rsidRPr="00187F92">
        <w:rPr>
          <w:rFonts w:asciiTheme="minorHAnsi" w:hAnsiTheme="minorHAnsi" w:cstheme="minorHAnsi"/>
          <w:b/>
          <w:bCs/>
          <w:i/>
          <w:iCs/>
          <w:color w:val="2F5496" w:themeColor="accent1" w:themeShade="BF"/>
          <w:sz w:val="22"/>
          <w:szCs w:val="22"/>
          <w14:ligatures w14:val="none"/>
        </w:rPr>
        <w:t xml:space="preserve">‘Rigid cultural stereotypes of masculinity and femininity are unfortunate and </w:t>
      </w:r>
      <w:r w:rsidR="00FD3C8A" w:rsidRPr="00187F92">
        <w:rPr>
          <w:rFonts w:asciiTheme="minorHAnsi" w:hAnsiTheme="minorHAnsi" w:cstheme="minorHAnsi"/>
          <w:b/>
          <w:bCs/>
          <w:i/>
          <w:iCs/>
          <w:color w:val="2F5496" w:themeColor="accent1" w:themeShade="BF"/>
          <w:sz w:val="22"/>
          <w:szCs w:val="22"/>
          <w14:ligatures w14:val="none"/>
        </w:rPr>
        <w:t xml:space="preserve">         </w:t>
      </w:r>
      <w:r w:rsidR="0072076B" w:rsidRPr="00187F92">
        <w:rPr>
          <w:rFonts w:asciiTheme="minorHAnsi" w:hAnsiTheme="minorHAnsi" w:cstheme="minorHAnsi"/>
          <w:b/>
          <w:bCs/>
          <w:i/>
          <w:iCs/>
          <w:color w:val="2F5496" w:themeColor="accent1" w:themeShade="BF"/>
          <w:sz w:val="22"/>
          <w:szCs w:val="22"/>
          <w14:ligatures w14:val="none"/>
        </w:rPr>
        <w:t xml:space="preserve">  </w:t>
      </w:r>
      <w:proofErr w:type="gramStart"/>
      <w:r w:rsidR="00FD3C8A" w:rsidRPr="00187F92">
        <w:rPr>
          <w:rFonts w:asciiTheme="minorHAnsi" w:hAnsiTheme="minorHAnsi" w:cstheme="minorHAnsi"/>
          <w:b/>
          <w:bCs/>
          <w:i/>
          <w:iCs/>
          <w:color w:val="2F5496" w:themeColor="accent1" w:themeShade="BF"/>
          <w:sz w:val="22"/>
          <w:szCs w:val="22"/>
          <w14:ligatures w14:val="none"/>
        </w:rPr>
        <w:t>u</w:t>
      </w:r>
      <w:r w:rsidRPr="00187F92">
        <w:rPr>
          <w:rFonts w:asciiTheme="minorHAnsi" w:hAnsiTheme="minorHAnsi" w:cstheme="minorHAnsi"/>
          <w:b/>
          <w:bCs/>
          <w:i/>
          <w:iCs/>
          <w:color w:val="2F5496" w:themeColor="accent1" w:themeShade="BF"/>
          <w:sz w:val="22"/>
          <w:szCs w:val="22"/>
          <w14:ligatures w14:val="none"/>
        </w:rPr>
        <w:t>ndesirable..</w:t>
      </w:r>
      <w:proofErr w:type="gramEnd"/>
      <w:r w:rsidRPr="00187F92">
        <w:rPr>
          <w:rFonts w:asciiTheme="minorHAnsi" w:hAnsiTheme="minorHAnsi" w:cstheme="minorHAnsi"/>
          <w:b/>
          <w:bCs/>
          <w:i/>
          <w:iCs/>
          <w:color w:val="2F5496" w:themeColor="accent1" w:themeShade="BF"/>
          <w:sz w:val="22"/>
          <w:szCs w:val="22"/>
          <w14:ligatures w14:val="none"/>
        </w:rPr>
        <w:t xml:space="preserve">[creating] unreasonable pressure on children to </w:t>
      </w:r>
      <w:proofErr w:type="spellStart"/>
      <w:r w:rsidRPr="00187F92">
        <w:rPr>
          <w:rFonts w:asciiTheme="minorHAnsi" w:hAnsiTheme="minorHAnsi" w:cstheme="minorHAnsi"/>
          <w:b/>
          <w:bCs/>
          <w:i/>
          <w:iCs/>
          <w:color w:val="2F5496" w:themeColor="accent1" w:themeShade="BF"/>
          <w:sz w:val="22"/>
          <w:szCs w:val="22"/>
          <w14:ligatures w14:val="none"/>
        </w:rPr>
        <w:t>present..in</w:t>
      </w:r>
      <w:proofErr w:type="spellEnd"/>
      <w:r w:rsidRPr="00187F92">
        <w:rPr>
          <w:rFonts w:asciiTheme="minorHAnsi" w:hAnsiTheme="minorHAnsi" w:cstheme="minorHAnsi"/>
          <w:b/>
          <w:bCs/>
          <w:i/>
          <w:iCs/>
          <w:color w:val="2F5496" w:themeColor="accent1" w:themeShade="BF"/>
          <w:sz w:val="22"/>
          <w:szCs w:val="22"/>
          <w14:ligatures w14:val="none"/>
        </w:rPr>
        <w:t xml:space="preserve"> particular ways’ </w:t>
      </w:r>
      <w:r w:rsidRPr="00187F92">
        <w:rPr>
          <w:rFonts w:asciiTheme="minorHAnsi" w:hAnsiTheme="minorHAnsi" w:cstheme="minorHAnsi"/>
          <w:b/>
          <w:bCs/>
          <w:i/>
          <w:iCs/>
          <w:color w:val="2F5496" w:themeColor="accent1" w:themeShade="BF"/>
          <w:sz w:val="22"/>
          <w:szCs w:val="22"/>
          <w:lang w:val="en-US"/>
          <w14:ligatures w14:val="none"/>
        </w:rPr>
        <w:t xml:space="preserve"> </w:t>
      </w:r>
      <w:r w:rsidRPr="00187F92">
        <w:rPr>
          <w:rFonts w:asciiTheme="minorHAnsi" w:hAnsiTheme="minorHAnsi" w:cstheme="minorHAnsi"/>
          <w:b/>
          <w:bCs/>
          <w:i/>
          <w:iCs/>
          <w:color w:val="2F5496" w:themeColor="accent1" w:themeShade="BF"/>
          <w:sz w:val="22"/>
          <w:szCs w:val="22"/>
          <w14:ligatures w14:val="none"/>
        </w:rPr>
        <w:t> </w:t>
      </w:r>
    </w:p>
    <w:p w14:paraId="4ED757C2" w14:textId="38663127" w:rsidR="00A05714" w:rsidRPr="00D261EF" w:rsidRDefault="00D2152D" w:rsidP="00D261EF">
      <w:pPr>
        <w:jc w:val="both"/>
        <w:rPr>
          <w:sz w:val="22"/>
          <w:szCs w:val="22"/>
        </w:rPr>
      </w:pPr>
      <w:r w:rsidRPr="009E06C2">
        <w:t>The current ‘affirmation method’ of management, used in many gender clinics</w:t>
      </w:r>
      <w:r w:rsidR="003444E8" w:rsidRPr="009E06C2">
        <w:t>,</w:t>
      </w:r>
      <w:r w:rsidRPr="009E06C2">
        <w:t xml:space="preserve"> endorses the child’s perceptions. The C</w:t>
      </w:r>
      <w:r w:rsidR="007645BB" w:rsidRPr="009E06C2">
        <w:t>are Quality Commission r</w:t>
      </w:r>
      <w:r w:rsidRPr="009E06C2">
        <w:t xml:space="preserve">eview criticized this ‘predominantly affirmative, non-exploratory approach, often driven by child and parent expectations and the extent of social transition that had </w:t>
      </w:r>
      <w:proofErr w:type="gramStart"/>
      <w:r w:rsidRPr="009E06C2">
        <w:t>developed..</w:t>
      </w:r>
      <w:proofErr w:type="gramEnd"/>
      <w:r w:rsidRPr="009E06C2">
        <w:t>’</w:t>
      </w:r>
      <w:r w:rsidR="00B5684D" w:rsidRPr="009E06C2">
        <w:t>.</w:t>
      </w:r>
      <w:r w:rsidRPr="009E06C2">
        <w:t xml:space="preserve"> Staff interviewed said they felt under pressure to adopt an unquestioning, </w:t>
      </w:r>
      <w:r w:rsidRPr="00D261EF">
        <w:rPr>
          <w:sz w:val="22"/>
          <w:szCs w:val="22"/>
        </w:rPr>
        <w:t xml:space="preserve">affirmative approach, an approach at </w:t>
      </w:r>
      <w:r w:rsidRPr="00D261EF">
        <w:rPr>
          <w:sz w:val="22"/>
          <w:szCs w:val="22"/>
        </w:rPr>
        <w:lastRenderedPageBreak/>
        <w:t xml:space="preserve">odds with the approach they were trained to adopt in other clinical contexts. The distressed child, exposed to internet and peer pressure, tends to become the </w:t>
      </w:r>
      <w:proofErr w:type="spellStart"/>
      <w:r w:rsidRPr="00D261EF">
        <w:rPr>
          <w:sz w:val="22"/>
          <w:szCs w:val="22"/>
        </w:rPr>
        <w:t>diagnoser</w:t>
      </w:r>
      <w:proofErr w:type="spellEnd"/>
      <w:r w:rsidRPr="00D261EF">
        <w:rPr>
          <w:sz w:val="22"/>
          <w:szCs w:val="22"/>
        </w:rPr>
        <w:t xml:space="preserve">. Dr. </w:t>
      </w:r>
      <w:r w:rsidR="00A05714" w:rsidRPr="00D261EF">
        <w:rPr>
          <w:sz w:val="22"/>
          <w:szCs w:val="22"/>
        </w:rPr>
        <w:t xml:space="preserve">Hilary </w:t>
      </w:r>
      <w:proofErr w:type="spellStart"/>
      <w:r w:rsidRPr="00D261EF">
        <w:rPr>
          <w:sz w:val="22"/>
          <w:szCs w:val="22"/>
        </w:rPr>
        <w:t>Cass’</w:t>
      </w:r>
      <w:proofErr w:type="spellEnd"/>
      <w:r w:rsidRPr="00D261EF">
        <w:rPr>
          <w:sz w:val="22"/>
          <w:szCs w:val="22"/>
        </w:rPr>
        <w:t xml:space="preserve"> report asserted ‘many authors view gender expression </w:t>
      </w:r>
      <w:proofErr w:type="gramStart"/>
      <w:r w:rsidRPr="00D261EF">
        <w:rPr>
          <w:sz w:val="22"/>
          <w:szCs w:val="22"/>
        </w:rPr>
        <w:t>as a result of</w:t>
      </w:r>
      <w:proofErr w:type="gramEnd"/>
      <w:r w:rsidRPr="00D261EF">
        <w:rPr>
          <w:sz w:val="22"/>
          <w:szCs w:val="22"/>
        </w:rPr>
        <w:t xml:space="preserve"> a complex interaction between biological, cultural, social and psychological factors.’ She observed the over-representation of children in care</w:t>
      </w:r>
      <w:r w:rsidR="00413636" w:rsidRPr="00D261EF">
        <w:rPr>
          <w:sz w:val="22"/>
          <w:szCs w:val="22"/>
        </w:rPr>
        <w:t xml:space="preserve">, </w:t>
      </w:r>
      <w:r w:rsidR="00A05714" w:rsidRPr="00D261EF">
        <w:rPr>
          <w:sz w:val="22"/>
          <w:szCs w:val="22"/>
        </w:rPr>
        <w:t xml:space="preserve">and queried the </w:t>
      </w:r>
      <w:r w:rsidR="00963C72" w:rsidRPr="00D261EF">
        <w:rPr>
          <w:sz w:val="22"/>
          <w:szCs w:val="22"/>
        </w:rPr>
        <w:t>early hormone intervention</w:t>
      </w:r>
      <w:r w:rsidR="00A05714" w:rsidRPr="00D261EF">
        <w:rPr>
          <w:sz w:val="22"/>
          <w:szCs w:val="22"/>
        </w:rPr>
        <w:t>:</w:t>
      </w:r>
      <w:r w:rsidRPr="00D261EF">
        <w:rPr>
          <w:sz w:val="22"/>
          <w:szCs w:val="22"/>
        </w:rPr>
        <w:t> </w:t>
      </w:r>
    </w:p>
    <w:p w14:paraId="556E7BC4" w14:textId="0AF2EA5A" w:rsidR="00D2152D" w:rsidRPr="00D261EF" w:rsidRDefault="00D2152D" w:rsidP="00D261EF">
      <w:pPr>
        <w:jc w:val="both"/>
        <w:rPr>
          <w:b/>
          <w:bCs/>
          <w:i/>
          <w:iCs/>
          <w:sz w:val="22"/>
          <w:szCs w:val="22"/>
        </w:rPr>
      </w:pPr>
      <w:r w:rsidRPr="00D261EF">
        <w:rPr>
          <w:b/>
          <w:bCs/>
          <w:i/>
          <w:iCs/>
          <w:color w:val="2F5496" w:themeColor="accent1" w:themeShade="BF"/>
          <w:sz w:val="22"/>
          <w:szCs w:val="22"/>
        </w:rPr>
        <w:t xml:space="preserve">“We have no way of knowing whether, rather than buying time to make a decision, puberty blockers may disrupt that decision-making process” </w:t>
      </w:r>
    </w:p>
    <w:p w14:paraId="50B25B5B" w14:textId="7B7C8CC9" w:rsidR="00D2152D" w:rsidRPr="00D261EF" w:rsidRDefault="00D2152D" w:rsidP="00D261EF">
      <w:pPr>
        <w:jc w:val="both"/>
        <w:rPr>
          <w:sz w:val="22"/>
          <w:szCs w:val="22"/>
        </w:rPr>
      </w:pPr>
      <w:r w:rsidRPr="00D261EF">
        <w:rPr>
          <w:sz w:val="22"/>
          <w:szCs w:val="22"/>
        </w:rPr>
        <w:t xml:space="preserve">Despite world-wide movements </w:t>
      </w:r>
      <w:r w:rsidR="000761F5" w:rsidRPr="00D261EF">
        <w:rPr>
          <w:sz w:val="22"/>
          <w:szCs w:val="22"/>
        </w:rPr>
        <w:t xml:space="preserve">tending </w:t>
      </w:r>
      <w:r w:rsidRPr="00D261EF">
        <w:rPr>
          <w:sz w:val="22"/>
          <w:szCs w:val="22"/>
        </w:rPr>
        <w:t xml:space="preserve">away from using puberty blockers in minors, Australian states are mandating the ‘affirmation’ approach. While Finland guidelines advocate counselling rather than puberty-blocking hormones, and Sweden advises against puberty blocking hormones for young children, Victoria, </w:t>
      </w:r>
      <w:proofErr w:type="gramStart"/>
      <w:r w:rsidRPr="00D261EF">
        <w:rPr>
          <w:sz w:val="22"/>
          <w:szCs w:val="22"/>
        </w:rPr>
        <w:t>Queensland</w:t>
      </w:r>
      <w:proofErr w:type="gramEnd"/>
      <w:r w:rsidRPr="00D261EF">
        <w:rPr>
          <w:sz w:val="22"/>
          <w:szCs w:val="22"/>
        </w:rPr>
        <w:t xml:space="preserve"> and the ACT may fine, imprison and de-register health professionals who do not respond to self</w:t>
      </w:r>
      <w:r w:rsidR="00DC316F" w:rsidRPr="00D261EF">
        <w:rPr>
          <w:sz w:val="22"/>
          <w:szCs w:val="22"/>
        </w:rPr>
        <w:t>-</w:t>
      </w:r>
      <w:r w:rsidRPr="00D261EF">
        <w:rPr>
          <w:sz w:val="22"/>
          <w:szCs w:val="22"/>
        </w:rPr>
        <w:t>identification by endorsing use of these hormone</w:t>
      </w:r>
      <w:r w:rsidR="00963C72" w:rsidRPr="00D261EF">
        <w:rPr>
          <w:sz w:val="22"/>
          <w:szCs w:val="22"/>
        </w:rPr>
        <w:t xml:space="preserve"> interventions. </w:t>
      </w:r>
      <w:r w:rsidRPr="00D261EF">
        <w:rPr>
          <w:sz w:val="22"/>
          <w:szCs w:val="22"/>
        </w:rPr>
        <w:t>Such counselling</w:t>
      </w:r>
      <w:r w:rsidR="00830EFB" w:rsidRPr="00D261EF">
        <w:rPr>
          <w:sz w:val="22"/>
          <w:szCs w:val="22"/>
        </w:rPr>
        <w:t>, though in step with approaches in more progressive Scandinavian countries and now the UK,</w:t>
      </w:r>
      <w:r w:rsidRPr="00D261EF">
        <w:rPr>
          <w:sz w:val="22"/>
          <w:szCs w:val="22"/>
        </w:rPr>
        <w:t xml:space="preserve"> is</w:t>
      </w:r>
      <w:r w:rsidR="00963C72" w:rsidRPr="00D261EF">
        <w:rPr>
          <w:sz w:val="22"/>
          <w:szCs w:val="22"/>
        </w:rPr>
        <w:t xml:space="preserve"> still</w:t>
      </w:r>
      <w:r w:rsidRPr="00D261EF">
        <w:rPr>
          <w:sz w:val="22"/>
          <w:szCs w:val="22"/>
        </w:rPr>
        <w:t xml:space="preserve"> deemed</w:t>
      </w:r>
      <w:r w:rsidR="000761F5" w:rsidRPr="00D261EF">
        <w:rPr>
          <w:sz w:val="22"/>
          <w:szCs w:val="22"/>
        </w:rPr>
        <w:t xml:space="preserve"> a form of</w:t>
      </w:r>
      <w:r w:rsidRPr="00D261EF">
        <w:rPr>
          <w:sz w:val="22"/>
          <w:szCs w:val="22"/>
        </w:rPr>
        <w:t xml:space="preserve"> ’conversion therapy’</w:t>
      </w:r>
      <w:r w:rsidR="00830EFB" w:rsidRPr="00D261EF">
        <w:rPr>
          <w:sz w:val="22"/>
          <w:szCs w:val="22"/>
        </w:rPr>
        <w:t xml:space="preserve"> by </w:t>
      </w:r>
      <w:r w:rsidR="003444E8" w:rsidRPr="00D261EF">
        <w:rPr>
          <w:sz w:val="22"/>
          <w:szCs w:val="22"/>
        </w:rPr>
        <w:t xml:space="preserve">leaders </w:t>
      </w:r>
      <w:r w:rsidR="00830EFB" w:rsidRPr="00D261EF">
        <w:rPr>
          <w:sz w:val="22"/>
          <w:szCs w:val="22"/>
        </w:rPr>
        <w:t xml:space="preserve">here who </w:t>
      </w:r>
      <w:r w:rsidR="003444E8" w:rsidRPr="00D261EF">
        <w:rPr>
          <w:sz w:val="22"/>
          <w:szCs w:val="22"/>
        </w:rPr>
        <w:t xml:space="preserve">follow </w:t>
      </w:r>
      <w:r w:rsidR="00830EFB" w:rsidRPr="00D261EF">
        <w:rPr>
          <w:sz w:val="22"/>
          <w:szCs w:val="22"/>
        </w:rPr>
        <w:t xml:space="preserve">their own guidelines. </w:t>
      </w:r>
    </w:p>
    <w:p w14:paraId="5F6D9237" w14:textId="77777777" w:rsidR="009F2E4A" w:rsidRPr="00D261EF" w:rsidRDefault="00B47412" w:rsidP="00D261EF">
      <w:pPr>
        <w:jc w:val="both"/>
        <w:rPr>
          <w:sz w:val="22"/>
          <w:szCs w:val="22"/>
        </w:rPr>
      </w:pPr>
      <w:r w:rsidRPr="00D261EF">
        <w:rPr>
          <w:sz w:val="22"/>
          <w:szCs w:val="22"/>
        </w:rPr>
        <w:t>When new Queensland legislation comes into effect, t</w:t>
      </w:r>
      <w:r w:rsidR="00D2152D" w:rsidRPr="00D261EF">
        <w:rPr>
          <w:sz w:val="22"/>
          <w:szCs w:val="22"/>
        </w:rPr>
        <w:t xml:space="preserve">he 2.3% of Australian children aged 16 and 17 self-diagnosed as transgender or gender diverse will now have less access to counselling. </w:t>
      </w:r>
      <w:r w:rsidR="00963C72" w:rsidRPr="00D261EF">
        <w:rPr>
          <w:sz w:val="22"/>
          <w:szCs w:val="22"/>
        </w:rPr>
        <w:t>The n</w:t>
      </w:r>
      <w:r w:rsidR="00D2152D" w:rsidRPr="00D261EF">
        <w:rPr>
          <w:sz w:val="22"/>
          <w:szCs w:val="22"/>
        </w:rPr>
        <w:t xml:space="preserve">ew legislation passed </w:t>
      </w:r>
      <w:r w:rsidRPr="00D261EF">
        <w:rPr>
          <w:sz w:val="22"/>
          <w:szCs w:val="22"/>
        </w:rPr>
        <w:t>in</w:t>
      </w:r>
      <w:r w:rsidR="00D2152D" w:rsidRPr="00D261EF">
        <w:rPr>
          <w:sz w:val="22"/>
          <w:szCs w:val="22"/>
        </w:rPr>
        <w:t xml:space="preserve"> October 2022, will</w:t>
      </w:r>
      <w:r w:rsidR="00DC316F" w:rsidRPr="00D261EF">
        <w:rPr>
          <w:sz w:val="22"/>
          <w:szCs w:val="22"/>
        </w:rPr>
        <w:t xml:space="preserve"> immediately </w:t>
      </w:r>
      <w:r w:rsidR="00D2152D" w:rsidRPr="00D261EF">
        <w:rPr>
          <w:sz w:val="22"/>
          <w:szCs w:val="22"/>
        </w:rPr>
        <w:t xml:space="preserve">name and shame doctors who question the ‘affirmation’ method, or other consensus-regimented responses - such as to abortion, euthanasia etc, prior to </w:t>
      </w:r>
      <w:r w:rsidRPr="00D261EF">
        <w:rPr>
          <w:sz w:val="22"/>
          <w:szCs w:val="22"/>
        </w:rPr>
        <w:t xml:space="preserve">any further </w:t>
      </w:r>
      <w:r w:rsidR="00D2152D" w:rsidRPr="00D261EF">
        <w:rPr>
          <w:sz w:val="22"/>
          <w:szCs w:val="22"/>
        </w:rPr>
        <w:t>in</w:t>
      </w:r>
      <w:r w:rsidR="00233800" w:rsidRPr="00D261EF">
        <w:rPr>
          <w:sz w:val="22"/>
          <w:szCs w:val="22"/>
        </w:rPr>
        <w:t>v</w:t>
      </w:r>
      <w:r w:rsidR="00D2152D" w:rsidRPr="00D261EF">
        <w:rPr>
          <w:sz w:val="22"/>
          <w:szCs w:val="22"/>
        </w:rPr>
        <w:t>estigation</w:t>
      </w:r>
      <w:r w:rsidRPr="00D261EF">
        <w:rPr>
          <w:sz w:val="22"/>
          <w:szCs w:val="22"/>
        </w:rPr>
        <w:t xml:space="preserve"> being carried out around the issue at hand. </w:t>
      </w:r>
      <w:r w:rsidR="00D2152D" w:rsidRPr="00D261EF">
        <w:rPr>
          <w:sz w:val="22"/>
          <w:szCs w:val="22"/>
        </w:rPr>
        <w:t xml:space="preserve"> </w:t>
      </w:r>
    </w:p>
    <w:p w14:paraId="4F46B58C" w14:textId="6668D984" w:rsidR="00D2152D" w:rsidRPr="009E06C2" w:rsidRDefault="00D2152D" w:rsidP="009F2E4A">
      <w:pPr>
        <w:widowControl w:val="0"/>
        <w:spacing w:line="276" w:lineRule="auto"/>
        <w:jc w:val="both"/>
        <w:rPr>
          <w:rFonts w:asciiTheme="minorHAnsi" w:hAnsiTheme="minorHAnsi" w:cstheme="minorHAnsi"/>
          <w:sz w:val="22"/>
          <w:szCs w:val="22"/>
          <w14:ligatures w14:val="none"/>
        </w:rPr>
      </w:pPr>
      <w:r w:rsidRPr="009E06C2">
        <w:rPr>
          <w:rFonts w:asciiTheme="minorHAnsi" w:hAnsiTheme="minorHAnsi" w:cstheme="minorHAnsi"/>
          <w:sz w:val="22"/>
          <w:szCs w:val="22"/>
          <w14:ligatures w14:val="none"/>
        </w:rPr>
        <w:t xml:space="preserve">  </w:t>
      </w:r>
    </w:p>
    <w:p w14:paraId="2C8C6B8C" w14:textId="77777777" w:rsidR="00233800" w:rsidRDefault="00D33B41" w:rsidP="009F2E4A">
      <w:pPr>
        <w:widowControl w:val="0"/>
        <w:spacing w:line="276" w:lineRule="auto"/>
        <w:jc w:val="both"/>
        <w:rPr>
          <w:rFonts w:asciiTheme="minorHAnsi" w:hAnsiTheme="minorHAnsi" w:cstheme="minorHAnsi"/>
          <w:b/>
          <w:bCs/>
          <w:sz w:val="22"/>
          <w:szCs w:val="22"/>
          <w14:ligatures w14:val="none"/>
        </w:rPr>
      </w:pPr>
      <w:r w:rsidRPr="00233800">
        <w:rPr>
          <w:rFonts w:asciiTheme="minorHAnsi" w:hAnsiTheme="minorHAnsi" w:cstheme="minorHAnsi"/>
          <w:b/>
          <w:bCs/>
          <w:color w:val="2F5496" w:themeColor="accent1" w:themeShade="BF"/>
          <w:sz w:val="22"/>
          <w:szCs w:val="22"/>
          <w14:ligatures w14:val="none"/>
        </w:rPr>
        <w:t>‘</w:t>
      </w:r>
      <w:r w:rsidR="00DC316F" w:rsidRPr="00233800">
        <w:rPr>
          <w:rFonts w:asciiTheme="minorHAnsi" w:hAnsiTheme="minorHAnsi" w:cstheme="minorHAnsi"/>
          <w:b/>
          <w:bCs/>
          <w:color w:val="2F5496" w:themeColor="accent1" w:themeShade="BF"/>
          <w:sz w:val="22"/>
          <w:szCs w:val="22"/>
          <w14:ligatures w14:val="none"/>
        </w:rPr>
        <w:t>Created and Loved</w:t>
      </w:r>
      <w:r w:rsidRPr="00233800">
        <w:rPr>
          <w:rFonts w:asciiTheme="minorHAnsi" w:hAnsiTheme="minorHAnsi" w:cstheme="minorHAnsi"/>
          <w:b/>
          <w:bCs/>
          <w:color w:val="2F5496" w:themeColor="accent1" w:themeShade="BF"/>
          <w:sz w:val="22"/>
          <w:szCs w:val="22"/>
          <w14:ligatures w14:val="none"/>
        </w:rPr>
        <w:t>’</w:t>
      </w:r>
      <w:r w:rsidR="00D2152D" w:rsidRPr="00233800">
        <w:rPr>
          <w:rFonts w:asciiTheme="minorHAnsi" w:hAnsiTheme="minorHAnsi" w:cstheme="minorHAnsi"/>
          <w:b/>
          <w:bCs/>
          <w:sz w:val="22"/>
          <w:szCs w:val="22"/>
          <w14:ligatures w14:val="none"/>
        </w:rPr>
        <w:t> </w:t>
      </w:r>
    </w:p>
    <w:p w14:paraId="39D5B07B" w14:textId="37236EB2" w:rsidR="008C1A18" w:rsidRDefault="00D2152D" w:rsidP="003C4861">
      <w:pPr>
        <w:widowControl w:val="0"/>
        <w:spacing w:line="276" w:lineRule="auto"/>
        <w:jc w:val="both"/>
        <w:rPr>
          <w:rFonts w:asciiTheme="minorHAnsi" w:hAnsiTheme="minorHAnsi" w:cstheme="minorHAnsi"/>
          <w:lang w:val="en-US" w:eastAsia="zh-CN" w:bidi="hi-IN"/>
          <w14:ligatures w14:val="none"/>
        </w:rPr>
      </w:pPr>
      <w:r w:rsidRPr="009E06C2">
        <w:rPr>
          <w:rFonts w:asciiTheme="minorHAnsi" w:hAnsiTheme="minorHAnsi" w:cstheme="minorHAnsi"/>
          <w:sz w:val="22"/>
          <w:szCs w:val="22"/>
          <w14:ligatures w14:val="none"/>
        </w:rPr>
        <w:t xml:space="preserve"> Our Australian Bishops have reminded us that research data suggests </w:t>
      </w:r>
      <w:proofErr w:type="gramStart"/>
      <w:r w:rsidRPr="009E06C2">
        <w:rPr>
          <w:rFonts w:asciiTheme="minorHAnsi" w:hAnsiTheme="minorHAnsi" w:cstheme="minorHAnsi"/>
          <w:sz w:val="22"/>
          <w:szCs w:val="22"/>
          <w14:ligatures w14:val="none"/>
        </w:rPr>
        <w:t>the vast majority of</w:t>
      </w:r>
      <w:proofErr w:type="gramEnd"/>
      <w:r w:rsidRPr="009E06C2">
        <w:rPr>
          <w:rFonts w:asciiTheme="minorHAnsi" w:hAnsiTheme="minorHAnsi" w:cstheme="minorHAnsi"/>
          <w:sz w:val="22"/>
          <w:szCs w:val="22"/>
          <w14:ligatures w14:val="none"/>
        </w:rPr>
        <w:t xml:space="preserve"> children and teens experiencing gender incongruence will pass ‘safely and naturally’ through this with supportive psychological care. 80 to 90% of prepubescent children will not remain gender incongruent into their future. (</w:t>
      </w:r>
      <w:proofErr w:type="spellStart"/>
      <w:r w:rsidRPr="009E06C2">
        <w:rPr>
          <w:rFonts w:asciiTheme="minorHAnsi" w:hAnsiTheme="minorHAnsi" w:cstheme="minorHAnsi"/>
          <w:sz w:val="22"/>
          <w:szCs w:val="22"/>
          <w14:ligatures w14:val="none"/>
        </w:rPr>
        <w:t>Kaltiala</w:t>
      </w:r>
      <w:proofErr w:type="spellEnd"/>
      <w:r w:rsidRPr="009E06C2">
        <w:rPr>
          <w:rFonts w:asciiTheme="minorHAnsi" w:hAnsiTheme="minorHAnsi" w:cstheme="minorHAnsi"/>
          <w:sz w:val="22"/>
          <w:szCs w:val="22"/>
          <w14:ligatures w14:val="none"/>
        </w:rPr>
        <w:t xml:space="preserve"> </w:t>
      </w:r>
      <w:proofErr w:type="spellStart"/>
      <w:r w:rsidRPr="009E06C2">
        <w:rPr>
          <w:rFonts w:asciiTheme="minorHAnsi" w:hAnsiTheme="minorHAnsi" w:cstheme="minorHAnsi"/>
          <w:sz w:val="22"/>
          <w:szCs w:val="22"/>
          <w14:ligatures w14:val="none"/>
        </w:rPr>
        <w:t>Hano</w:t>
      </w:r>
      <w:proofErr w:type="spellEnd"/>
      <w:r w:rsidRPr="009E06C2">
        <w:rPr>
          <w:rFonts w:asciiTheme="minorHAnsi" w:hAnsiTheme="minorHAnsi" w:cstheme="minorHAnsi"/>
          <w:sz w:val="22"/>
          <w:szCs w:val="22"/>
          <w14:ligatures w14:val="none"/>
        </w:rPr>
        <w:t xml:space="preserve"> 2018).</w:t>
      </w:r>
      <w:r w:rsidR="00B47412" w:rsidRPr="009E06C2">
        <w:rPr>
          <w:rFonts w:asciiTheme="minorHAnsi" w:hAnsiTheme="minorHAnsi" w:cstheme="minorHAnsi"/>
          <w:sz w:val="22"/>
          <w:szCs w:val="22"/>
          <w14:ligatures w14:val="none"/>
        </w:rPr>
        <w:t xml:space="preserve"> </w:t>
      </w:r>
      <w:r w:rsidRPr="009E06C2">
        <w:rPr>
          <w:rFonts w:asciiTheme="minorHAnsi" w:hAnsiTheme="minorHAnsi" w:cstheme="minorHAnsi"/>
          <w:sz w:val="22"/>
          <w:szCs w:val="22"/>
          <w14:ligatures w14:val="none"/>
        </w:rPr>
        <w:t xml:space="preserve"> They also remind us that many popular rhetorical perceptions of sex and gender are incompatible with ‘the generosity of the Christian vision’.</w:t>
      </w:r>
      <w:r w:rsidR="00D33B41" w:rsidRPr="009E06C2">
        <w:rPr>
          <w:rFonts w:asciiTheme="minorHAnsi" w:hAnsiTheme="minorHAnsi" w:cstheme="minorHAnsi"/>
          <w:sz w:val="22"/>
          <w:szCs w:val="22"/>
          <w14:ligatures w14:val="none"/>
        </w:rPr>
        <w:t xml:space="preserve"> </w:t>
      </w:r>
      <w:r w:rsidRPr="009E06C2">
        <w:rPr>
          <w:rFonts w:asciiTheme="minorHAnsi" w:hAnsiTheme="minorHAnsi" w:cstheme="minorHAnsi"/>
          <w:sz w:val="22"/>
          <w:szCs w:val="22"/>
          <w14:ligatures w14:val="none"/>
        </w:rPr>
        <w:t>Specifically</w:t>
      </w:r>
      <w:r w:rsidR="00D33B41" w:rsidRPr="009E06C2">
        <w:rPr>
          <w:rFonts w:asciiTheme="minorHAnsi" w:hAnsiTheme="minorHAnsi" w:cstheme="minorHAnsi"/>
          <w:sz w:val="22"/>
          <w:szCs w:val="22"/>
          <w14:ligatures w14:val="none"/>
        </w:rPr>
        <w:t xml:space="preserve">, </w:t>
      </w:r>
      <w:r w:rsidRPr="009E06C2">
        <w:rPr>
          <w:rFonts w:asciiTheme="minorHAnsi" w:hAnsiTheme="minorHAnsi" w:cstheme="minorHAnsi"/>
          <w:sz w:val="22"/>
          <w:szCs w:val="22"/>
          <w14:ligatures w14:val="none"/>
        </w:rPr>
        <w:t xml:space="preserve">we are reminded that gender is not entirely separate from biological sex, nor is it arbitrarily assigned at birth, but rather is an aspect of the gift of life. </w:t>
      </w:r>
      <w:r w:rsidR="00AA22CB">
        <w:rPr>
          <w:rFonts w:asciiTheme="minorHAnsi" w:hAnsiTheme="minorHAnsi" w:cstheme="minorHAnsi"/>
          <w:sz w:val="22"/>
          <w:szCs w:val="22"/>
          <w14:ligatures w14:val="none"/>
        </w:rPr>
        <w:t xml:space="preserve">Pope Francis refers to an attack on creation, </w:t>
      </w:r>
      <w:r w:rsidR="003C4861">
        <w:rPr>
          <w:rFonts w:asciiTheme="minorHAnsi" w:hAnsiTheme="minorHAnsi" w:cstheme="minorHAnsi"/>
          <w:sz w:val="22"/>
          <w:szCs w:val="22"/>
          <w14:ligatures w14:val="none"/>
        </w:rPr>
        <w:t xml:space="preserve">and </w:t>
      </w:r>
      <w:r w:rsidR="008C1A18" w:rsidRPr="009E06C2">
        <w:rPr>
          <w:rFonts w:asciiTheme="minorHAnsi" w:hAnsiTheme="minorHAnsi" w:cstheme="minorHAnsi"/>
          <w:sz w:val="22"/>
          <w:szCs w:val="22"/>
          <w:lang w:val="en-US" w:eastAsia="zh-CN" w:bidi="hi-IN"/>
          <w14:ligatures w14:val="none"/>
        </w:rPr>
        <w:t xml:space="preserve">has </w:t>
      </w:r>
      <w:r w:rsidR="00830EFB" w:rsidRPr="009E06C2">
        <w:rPr>
          <w:rFonts w:asciiTheme="minorHAnsi" w:hAnsiTheme="minorHAnsi" w:cstheme="minorHAnsi"/>
          <w:sz w:val="22"/>
          <w:szCs w:val="22"/>
          <w:lang w:val="en-US" w:eastAsia="zh-CN" w:bidi="hi-IN"/>
          <w14:ligatures w14:val="none"/>
        </w:rPr>
        <w:t>taught on gender ideology on several occasions</w:t>
      </w:r>
      <w:r w:rsidR="00187F92">
        <w:rPr>
          <w:rFonts w:asciiTheme="minorHAnsi" w:hAnsiTheme="minorHAnsi" w:cstheme="minorHAnsi"/>
          <w:lang w:val="en-US" w:eastAsia="zh-CN" w:bidi="hi-IN"/>
          <w14:ligatures w14:val="none"/>
        </w:rPr>
        <w:t>,</w:t>
      </w:r>
      <w:r w:rsidR="00830EFB" w:rsidRPr="009E06C2">
        <w:rPr>
          <w:rFonts w:asciiTheme="minorHAnsi" w:hAnsiTheme="minorHAnsi" w:cstheme="minorHAnsi"/>
          <w:sz w:val="22"/>
          <w:szCs w:val="22"/>
          <w:lang w:val="en-US" w:eastAsia="zh-CN" w:bidi="hi-IN"/>
          <w14:ligatures w14:val="none"/>
        </w:rPr>
        <w:t xml:space="preserve"> and in </w:t>
      </w:r>
      <w:proofErr w:type="spellStart"/>
      <w:r w:rsidR="008C1A18" w:rsidRPr="009E06C2">
        <w:rPr>
          <w:rFonts w:asciiTheme="minorHAnsi" w:hAnsiTheme="minorHAnsi" w:cstheme="minorHAnsi"/>
          <w:sz w:val="22"/>
          <w:szCs w:val="22"/>
          <w:lang w:val="en-US" w:eastAsia="zh-CN" w:bidi="hi-IN"/>
          <w14:ligatures w14:val="none"/>
        </w:rPr>
        <w:t>Amoris</w:t>
      </w:r>
      <w:proofErr w:type="spellEnd"/>
      <w:r w:rsidR="008C1A18" w:rsidRPr="009E06C2">
        <w:rPr>
          <w:rFonts w:asciiTheme="minorHAnsi" w:hAnsiTheme="minorHAnsi" w:cstheme="minorHAnsi"/>
          <w:sz w:val="22"/>
          <w:szCs w:val="22"/>
          <w:lang w:val="en-US" w:eastAsia="zh-CN" w:bidi="hi-IN"/>
          <w14:ligatures w14:val="none"/>
        </w:rPr>
        <w:t xml:space="preserve"> Laetitia (n 56.):  </w:t>
      </w:r>
    </w:p>
    <w:p w14:paraId="430124AC" w14:textId="77777777" w:rsidR="00AA22CB" w:rsidRPr="009E06C2" w:rsidRDefault="00AA22CB" w:rsidP="00187F92">
      <w:pPr>
        <w:pStyle w:val="Body"/>
        <w:spacing w:after="0"/>
        <w:jc w:val="both"/>
        <w:rPr>
          <w:rFonts w:asciiTheme="minorHAnsi" w:hAnsiTheme="minorHAnsi" w:cstheme="minorHAnsi"/>
          <w:lang w:val="en-US" w:eastAsia="zh-CN" w:bidi="hi-IN"/>
          <w14:ligatures w14:val="none"/>
        </w:rPr>
      </w:pPr>
    </w:p>
    <w:p w14:paraId="55E0360D" w14:textId="51EC3128" w:rsidR="008C1A18" w:rsidRPr="009E06C2" w:rsidRDefault="008C1A18" w:rsidP="00187F92">
      <w:pPr>
        <w:pStyle w:val="Body"/>
        <w:spacing w:after="0"/>
        <w:jc w:val="both"/>
        <w:rPr>
          <w:rFonts w:asciiTheme="minorHAnsi" w:hAnsiTheme="minorHAnsi" w:cstheme="minorHAnsi"/>
          <w:i/>
          <w:iCs/>
          <w:lang w:val="en-US" w:eastAsia="zh-CN" w:bidi="hi-IN"/>
          <w14:ligatures w14:val="none"/>
        </w:rPr>
      </w:pPr>
      <w:r w:rsidRPr="009E06C2">
        <w:rPr>
          <w:rFonts w:asciiTheme="minorHAnsi" w:hAnsiTheme="minorHAnsi" w:cstheme="minorHAnsi"/>
          <w:i/>
          <w:iCs/>
          <w:lang w:val="en-US" w:eastAsia="zh-CN" w:bidi="hi-IN"/>
          <w14:ligatures w14:val="none"/>
        </w:rPr>
        <w:tab/>
      </w:r>
      <w:r w:rsidR="00187F92">
        <w:rPr>
          <w:rFonts w:asciiTheme="minorHAnsi" w:hAnsiTheme="minorHAnsi" w:cstheme="minorHAnsi"/>
          <w:i/>
          <w:iCs/>
          <w:lang w:val="en-US" w:eastAsia="zh-CN" w:bidi="hi-IN"/>
          <w14:ligatures w14:val="none"/>
        </w:rPr>
        <w:t xml:space="preserve">* </w:t>
      </w:r>
      <w:r w:rsidRPr="009E06C2">
        <w:rPr>
          <w:rFonts w:asciiTheme="minorHAnsi" w:hAnsiTheme="minorHAnsi" w:cstheme="minorHAnsi"/>
          <w:i/>
          <w:iCs/>
          <w:lang w:val="en-US" w:eastAsia="zh-CN" w:bidi="hi-IN"/>
          <w14:ligatures w14:val="none"/>
        </w:rPr>
        <w:t xml:space="preserve">‘Yet another challenge is posed by the various forms of an ideology of gender that </w:t>
      </w:r>
      <w:r w:rsidRPr="009E06C2">
        <w:rPr>
          <w:rFonts w:asciiTheme="minorHAnsi" w:hAnsiTheme="minorHAnsi" w:cstheme="minorHAnsi"/>
          <w:b/>
          <w:bCs/>
          <w:i/>
          <w:iCs/>
          <w:color w:val="004D73"/>
          <w:lang w:val="en-US" w:eastAsia="zh-CN" w:bidi="hi-IN"/>
          <w14:ligatures w14:val="none"/>
        </w:rPr>
        <w:t xml:space="preserve">denies the difference and reciprocity in nature of a man and a woman and envisages a society without sexual differences, </w:t>
      </w:r>
      <w:r w:rsidRPr="009E06C2">
        <w:rPr>
          <w:rFonts w:asciiTheme="minorHAnsi" w:hAnsiTheme="minorHAnsi" w:cstheme="minorHAnsi"/>
          <w:i/>
          <w:iCs/>
          <w:lang w:val="en-US" w:eastAsia="zh-CN" w:bidi="hi-IN"/>
          <w14:ligatures w14:val="none"/>
        </w:rPr>
        <w:t xml:space="preserve">thereby eliminating the anthropological basis of the </w:t>
      </w:r>
      <w:proofErr w:type="spellStart"/>
      <w:proofErr w:type="gramStart"/>
      <w:r w:rsidRPr="009E06C2">
        <w:rPr>
          <w:rFonts w:asciiTheme="minorHAnsi" w:hAnsiTheme="minorHAnsi" w:cstheme="minorHAnsi"/>
          <w:i/>
          <w:iCs/>
          <w:lang w:val="en-US" w:eastAsia="zh-CN" w:bidi="hi-IN"/>
          <w14:ligatures w14:val="none"/>
        </w:rPr>
        <w:t>family..</w:t>
      </w:r>
      <w:proofErr w:type="gramEnd"/>
      <w:r w:rsidRPr="009E06C2">
        <w:rPr>
          <w:rFonts w:asciiTheme="minorHAnsi" w:hAnsiTheme="minorHAnsi" w:cstheme="minorHAnsi"/>
          <w:i/>
          <w:iCs/>
          <w:lang w:val="en-US" w:eastAsia="zh-CN" w:bidi="hi-IN"/>
          <w14:ligatures w14:val="none"/>
        </w:rPr>
        <w:t>It</w:t>
      </w:r>
      <w:proofErr w:type="spellEnd"/>
      <w:r w:rsidRPr="009E06C2">
        <w:rPr>
          <w:rFonts w:asciiTheme="minorHAnsi" w:hAnsiTheme="minorHAnsi" w:cstheme="minorHAnsi"/>
          <w:i/>
          <w:iCs/>
          <w:lang w:val="en-US" w:eastAsia="zh-CN" w:bidi="hi-IN"/>
          <w14:ligatures w14:val="none"/>
        </w:rPr>
        <w:t xml:space="preserve"> is a source of concern that ..ideologies of this sort ..manage to assert themselves as absolute and unquestionable, even dictating how children should be raised..</w:t>
      </w:r>
    </w:p>
    <w:p w14:paraId="1586629F" w14:textId="41D96FB3" w:rsidR="008C1A18" w:rsidRPr="009E06C2" w:rsidRDefault="00187F92" w:rsidP="00187F92">
      <w:pPr>
        <w:pStyle w:val="Body"/>
        <w:spacing w:after="0"/>
        <w:ind w:firstLine="720"/>
        <w:jc w:val="both"/>
        <w:rPr>
          <w:rFonts w:asciiTheme="minorHAnsi" w:hAnsiTheme="minorHAnsi" w:cstheme="minorHAnsi"/>
          <w:i/>
          <w:iCs/>
          <w:lang w:val="en-US" w:eastAsia="zh-CN" w:bidi="hi-IN"/>
          <w14:ligatures w14:val="none"/>
        </w:rPr>
      </w:pPr>
      <w:r>
        <w:rPr>
          <w:rFonts w:asciiTheme="minorHAnsi" w:hAnsiTheme="minorHAnsi" w:cstheme="minorHAnsi"/>
          <w:i/>
          <w:iCs/>
          <w:lang w:val="en-US" w:eastAsia="zh-CN" w:bidi="hi-IN"/>
          <w14:ligatures w14:val="none"/>
        </w:rPr>
        <w:t>* ‘</w:t>
      </w:r>
      <w:r w:rsidR="008C1A18" w:rsidRPr="009E06C2">
        <w:rPr>
          <w:rFonts w:asciiTheme="minorHAnsi" w:hAnsiTheme="minorHAnsi" w:cstheme="minorHAnsi"/>
          <w:i/>
          <w:iCs/>
          <w:lang w:val="en-US" w:eastAsia="zh-CN" w:bidi="hi-IN"/>
          <w14:ligatures w14:val="none"/>
        </w:rPr>
        <w:t>It needs to be emphasized that biological sex and the socio-cultural role of sex (gender) can be distinguished but not separated. It is one thing to be understanding of human weakness and the complexities of life and another to accept ideologies that attempt to sunder what are inseparable aspects of reality</w:t>
      </w:r>
      <w:r>
        <w:rPr>
          <w:rFonts w:asciiTheme="minorHAnsi" w:hAnsiTheme="minorHAnsi" w:cstheme="minorHAnsi"/>
          <w:i/>
          <w:iCs/>
          <w:lang w:val="en-US" w:eastAsia="zh-CN" w:bidi="hi-IN"/>
          <w14:ligatures w14:val="none"/>
        </w:rPr>
        <w:t>’</w:t>
      </w:r>
      <w:r w:rsidR="008C1A18" w:rsidRPr="009E06C2">
        <w:rPr>
          <w:rFonts w:asciiTheme="minorHAnsi" w:hAnsiTheme="minorHAnsi" w:cstheme="minorHAnsi"/>
          <w:i/>
          <w:iCs/>
          <w:lang w:val="en-US" w:eastAsia="zh-CN" w:bidi="hi-IN"/>
          <w14:ligatures w14:val="none"/>
        </w:rPr>
        <w:t xml:space="preserve">. </w:t>
      </w:r>
    </w:p>
    <w:p w14:paraId="5F8235B1" w14:textId="5B5832F0" w:rsidR="008C1A18" w:rsidRPr="009E06C2" w:rsidRDefault="00187F92" w:rsidP="00187F92">
      <w:pPr>
        <w:pStyle w:val="Body"/>
        <w:spacing w:after="0"/>
        <w:ind w:firstLine="720"/>
        <w:jc w:val="both"/>
        <w:rPr>
          <w:rFonts w:asciiTheme="minorHAnsi" w:hAnsiTheme="minorHAnsi" w:cstheme="minorHAnsi"/>
          <w:i/>
          <w:iCs/>
          <w:color w:val="auto"/>
          <w:lang w:val="en-US" w:eastAsia="zh-CN" w:bidi="hi-IN"/>
          <w14:ligatures w14:val="none"/>
        </w:rPr>
      </w:pPr>
      <w:r>
        <w:rPr>
          <w:rFonts w:asciiTheme="minorHAnsi" w:hAnsiTheme="minorHAnsi" w:cstheme="minorHAnsi"/>
          <w:i/>
          <w:iCs/>
          <w:lang w:val="en-US" w:eastAsia="zh-CN" w:bidi="hi-IN"/>
          <w14:ligatures w14:val="none"/>
        </w:rPr>
        <w:t>* ‘</w:t>
      </w:r>
      <w:r w:rsidR="008C1A18" w:rsidRPr="009E06C2">
        <w:rPr>
          <w:rFonts w:asciiTheme="minorHAnsi" w:hAnsiTheme="minorHAnsi" w:cstheme="minorHAnsi"/>
          <w:i/>
          <w:iCs/>
          <w:lang w:val="en-US" w:eastAsia="zh-CN" w:bidi="hi-IN"/>
          <w14:ligatures w14:val="none"/>
        </w:rPr>
        <w:t xml:space="preserve">Let us not fall into the sin of trying to replace the </w:t>
      </w:r>
      <w:proofErr w:type="spellStart"/>
      <w:proofErr w:type="gramStart"/>
      <w:r w:rsidR="008C1A18" w:rsidRPr="009E06C2">
        <w:rPr>
          <w:rFonts w:asciiTheme="minorHAnsi" w:hAnsiTheme="minorHAnsi" w:cstheme="minorHAnsi"/>
          <w:i/>
          <w:iCs/>
          <w:lang w:val="en-US" w:eastAsia="zh-CN" w:bidi="hi-IN"/>
          <w14:ligatures w14:val="none"/>
        </w:rPr>
        <w:t>Creator..</w:t>
      </w:r>
      <w:proofErr w:type="gramEnd"/>
      <w:r w:rsidR="008C1A18" w:rsidRPr="009E06C2">
        <w:rPr>
          <w:rFonts w:asciiTheme="minorHAnsi" w:hAnsiTheme="minorHAnsi" w:cstheme="minorHAnsi"/>
          <w:i/>
          <w:iCs/>
          <w:color w:val="auto"/>
          <w:lang w:val="en-US" w:eastAsia="zh-CN" w:bidi="hi-IN"/>
          <w14:ligatures w14:val="none"/>
        </w:rPr>
        <w:t>Creation</w:t>
      </w:r>
      <w:proofErr w:type="spellEnd"/>
      <w:r w:rsidR="008C1A18" w:rsidRPr="009E06C2">
        <w:rPr>
          <w:rFonts w:asciiTheme="minorHAnsi" w:hAnsiTheme="minorHAnsi" w:cstheme="minorHAnsi"/>
          <w:i/>
          <w:iCs/>
          <w:color w:val="auto"/>
          <w:lang w:val="en-US" w:eastAsia="zh-CN" w:bidi="hi-IN"/>
          <w14:ligatures w14:val="none"/>
        </w:rPr>
        <w:t xml:space="preserve"> is prior to us and must be received as a gift. At the same time</w:t>
      </w:r>
      <w:r w:rsidR="00A05714" w:rsidRPr="009E06C2">
        <w:rPr>
          <w:rFonts w:asciiTheme="minorHAnsi" w:hAnsiTheme="minorHAnsi" w:cstheme="minorHAnsi"/>
          <w:i/>
          <w:iCs/>
          <w:color w:val="auto"/>
          <w:lang w:val="en-US" w:eastAsia="zh-CN" w:bidi="hi-IN"/>
          <w14:ligatures w14:val="none"/>
        </w:rPr>
        <w:t>,</w:t>
      </w:r>
      <w:r w:rsidR="008C1A18" w:rsidRPr="009E06C2">
        <w:rPr>
          <w:rFonts w:asciiTheme="minorHAnsi" w:hAnsiTheme="minorHAnsi" w:cstheme="minorHAnsi"/>
          <w:i/>
          <w:iCs/>
          <w:color w:val="auto"/>
          <w:lang w:val="en-US" w:eastAsia="zh-CN" w:bidi="hi-IN"/>
          <w14:ligatures w14:val="none"/>
        </w:rPr>
        <w:t xml:space="preserve"> we are called to protect our humanity, and this means, in the first place, accepting it and respecting it as it was created.’</w:t>
      </w:r>
    </w:p>
    <w:p w14:paraId="7CB2FE2D" w14:textId="1899002F" w:rsidR="001D1B90" w:rsidRPr="009E06C2" w:rsidRDefault="001D1B90" w:rsidP="00F20E11">
      <w:pPr>
        <w:pStyle w:val="Body"/>
        <w:spacing w:before="120"/>
        <w:jc w:val="both"/>
        <w:rPr>
          <w:rFonts w:asciiTheme="minorHAnsi" w:hAnsiTheme="minorHAnsi" w:cstheme="minorHAnsi"/>
          <w:color w:val="auto"/>
          <w:lang w:val="en-US" w:eastAsia="zh-CN" w:bidi="hi-IN"/>
          <w14:ligatures w14:val="none"/>
        </w:rPr>
      </w:pPr>
      <w:r w:rsidRPr="009E06C2">
        <w:rPr>
          <w:rFonts w:asciiTheme="minorHAnsi" w:hAnsiTheme="minorHAnsi" w:cstheme="minorHAnsi"/>
          <w:color w:val="auto"/>
          <w:lang w:val="en-US" w:eastAsia="zh-CN" w:bidi="hi-IN"/>
          <w14:ligatures w14:val="none"/>
        </w:rPr>
        <w:t xml:space="preserve">We thank our Catholic leadership for its leadership </w:t>
      </w:r>
      <w:r w:rsidR="00E17615" w:rsidRPr="009E06C2">
        <w:rPr>
          <w:rFonts w:asciiTheme="minorHAnsi" w:hAnsiTheme="minorHAnsi" w:cstheme="minorHAnsi"/>
          <w:color w:val="auto"/>
          <w:lang w:val="en-US" w:eastAsia="zh-CN" w:bidi="hi-IN"/>
          <w14:ligatures w14:val="none"/>
        </w:rPr>
        <w:t>-</w:t>
      </w:r>
      <w:r w:rsidRPr="009E06C2">
        <w:rPr>
          <w:rFonts w:asciiTheme="minorHAnsi" w:hAnsiTheme="minorHAnsi" w:cstheme="minorHAnsi"/>
          <w:color w:val="auto"/>
          <w:lang w:val="en-US" w:eastAsia="zh-CN" w:bidi="hi-IN"/>
          <w14:ligatures w14:val="none"/>
        </w:rPr>
        <w:t xml:space="preserve"> of our youth, of our teachers, of our Catholic schools </w:t>
      </w:r>
      <w:r w:rsidR="00E17615" w:rsidRPr="009E06C2">
        <w:rPr>
          <w:rFonts w:asciiTheme="minorHAnsi" w:hAnsiTheme="minorHAnsi" w:cstheme="minorHAnsi"/>
          <w:color w:val="auto"/>
          <w:lang w:val="en-US" w:eastAsia="zh-CN" w:bidi="hi-IN"/>
          <w14:ligatures w14:val="none"/>
        </w:rPr>
        <w:t>-</w:t>
      </w:r>
      <w:r w:rsidRPr="009E06C2">
        <w:rPr>
          <w:rFonts w:asciiTheme="minorHAnsi" w:hAnsiTheme="minorHAnsi" w:cstheme="minorHAnsi"/>
          <w:color w:val="auto"/>
          <w:lang w:val="en-US" w:eastAsia="zh-CN" w:bidi="hi-IN"/>
          <w14:ligatures w14:val="none"/>
        </w:rPr>
        <w:t xml:space="preserve"> for its light and wisdom to the </w:t>
      </w:r>
      <w:r w:rsidR="00DC1AD7" w:rsidRPr="009E06C2">
        <w:rPr>
          <w:rFonts w:asciiTheme="minorHAnsi" w:hAnsiTheme="minorHAnsi" w:cstheme="minorHAnsi"/>
          <w:color w:val="auto"/>
          <w:lang w:val="en-US" w:eastAsia="zh-CN" w:bidi="hi-IN"/>
          <w14:ligatures w14:val="none"/>
        </w:rPr>
        <w:t xml:space="preserve">parents, </w:t>
      </w:r>
      <w:proofErr w:type="gramStart"/>
      <w:r w:rsidR="00DC1AD7" w:rsidRPr="009E06C2">
        <w:rPr>
          <w:rFonts w:asciiTheme="minorHAnsi" w:hAnsiTheme="minorHAnsi" w:cstheme="minorHAnsi"/>
          <w:color w:val="auto"/>
          <w:lang w:val="en-US" w:eastAsia="zh-CN" w:bidi="hi-IN"/>
          <w14:ligatures w14:val="none"/>
        </w:rPr>
        <w:t>grandparents</w:t>
      </w:r>
      <w:proofErr w:type="gramEnd"/>
      <w:r w:rsidR="00DC1AD7" w:rsidRPr="009E06C2">
        <w:rPr>
          <w:rFonts w:asciiTheme="minorHAnsi" w:hAnsiTheme="minorHAnsi" w:cstheme="minorHAnsi"/>
          <w:color w:val="auto"/>
          <w:lang w:val="en-US" w:eastAsia="zh-CN" w:bidi="hi-IN"/>
          <w14:ligatures w14:val="none"/>
        </w:rPr>
        <w:t xml:space="preserve"> and </w:t>
      </w:r>
      <w:r w:rsidRPr="009E06C2">
        <w:rPr>
          <w:rFonts w:asciiTheme="minorHAnsi" w:hAnsiTheme="minorHAnsi" w:cstheme="minorHAnsi"/>
          <w:color w:val="auto"/>
          <w:lang w:val="en-US" w:eastAsia="zh-CN" w:bidi="hi-IN"/>
          <w14:ligatures w14:val="none"/>
        </w:rPr>
        <w:t>health providers of Australia and</w:t>
      </w:r>
      <w:r w:rsidR="00E17615" w:rsidRPr="009E06C2">
        <w:rPr>
          <w:rFonts w:asciiTheme="minorHAnsi" w:hAnsiTheme="minorHAnsi" w:cstheme="minorHAnsi"/>
          <w:color w:val="auto"/>
          <w:lang w:val="en-US" w:eastAsia="zh-CN" w:bidi="hi-IN"/>
          <w14:ligatures w14:val="none"/>
        </w:rPr>
        <w:t xml:space="preserve"> for</w:t>
      </w:r>
      <w:r w:rsidRPr="009E06C2">
        <w:rPr>
          <w:rFonts w:asciiTheme="minorHAnsi" w:hAnsiTheme="minorHAnsi" w:cstheme="minorHAnsi"/>
          <w:color w:val="auto"/>
          <w:lang w:val="en-US" w:eastAsia="zh-CN" w:bidi="hi-IN"/>
          <w14:ligatures w14:val="none"/>
        </w:rPr>
        <w:t xml:space="preserve"> its</w:t>
      </w:r>
      <w:r w:rsidR="0024341D" w:rsidRPr="009E06C2">
        <w:rPr>
          <w:rFonts w:asciiTheme="minorHAnsi" w:hAnsiTheme="minorHAnsi" w:cstheme="minorHAnsi"/>
          <w:color w:val="auto"/>
          <w:lang w:val="en-US" w:eastAsia="zh-CN" w:bidi="hi-IN"/>
          <w14:ligatures w14:val="none"/>
        </w:rPr>
        <w:t xml:space="preserve"> injection of prudence and moral courage </w:t>
      </w:r>
      <w:r w:rsidR="00B47412" w:rsidRPr="009E06C2">
        <w:rPr>
          <w:rFonts w:asciiTheme="minorHAnsi" w:hAnsiTheme="minorHAnsi" w:cstheme="minorHAnsi"/>
          <w:color w:val="auto"/>
          <w:lang w:val="en-US" w:eastAsia="zh-CN" w:bidi="hi-IN"/>
          <w14:ligatures w14:val="none"/>
        </w:rPr>
        <w:t>in</w:t>
      </w:r>
      <w:r w:rsidR="0024341D" w:rsidRPr="009E06C2">
        <w:rPr>
          <w:rFonts w:asciiTheme="minorHAnsi" w:hAnsiTheme="minorHAnsi" w:cstheme="minorHAnsi"/>
          <w:color w:val="auto"/>
          <w:lang w:val="en-US" w:eastAsia="zh-CN" w:bidi="hi-IN"/>
          <w14:ligatures w14:val="none"/>
        </w:rPr>
        <w:t>to</w:t>
      </w:r>
      <w:r w:rsidR="00B95215">
        <w:rPr>
          <w:rFonts w:asciiTheme="minorHAnsi" w:hAnsiTheme="minorHAnsi" w:cstheme="minorHAnsi"/>
          <w:color w:val="auto"/>
          <w:lang w:val="en-US" w:eastAsia="zh-CN" w:bidi="hi-IN"/>
          <w14:ligatures w14:val="none"/>
        </w:rPr>
        <w:t xml:space="preserve"> our</w:t>
      </w:r>
      <w:r w:rsidR="0024341D" w:rsidRPr="009E06C2">
        <w:rPr>
          <w:rFonts w:asciiTheme="minorHAnsi" w:hAnsiTheme="minorHAnsi" w:cstheme="minorHAnsi"/>
          <w:color w:val="auto"/>
          <w:lang w:val="en-US" w:eastAsia="zh-CN" w:bidi="hi-IN"/>
          <w14:ligatures w14:val="none"/>
        </w:rPr>
        <w:t xml:space="preserve"> </w:t>
      </w:r>
      <w:r w:rsidR="00B47412" w:rsidRPr="009E06C2">
        <w:rPr>
          <w:rFonts w:asciiTheme="minorHAnsi" w:hAnsiTheme="minorHAnsi" w:cstheme="minorHAnsi"/>
          <w:color w:val="auto"/>
          <w:lang w:val="en-US" w:eastAsia="zh-CN" w:bidi="hi-IN"/>
          <w14:ligatures w14:val="none"/>
        </w:rPr>
        <w:t xml:space="preserve">drifting </w:t>
      </w:r>
      <w:r w:rsidR="00CD04B1" w:rsidRPr="009E06C2">
        <w:rPr>
          <w:rFonts w:asciiTheme="minorHAnsi" w:hAnsiTheme="minorHAnsi" w:cstheme="minorHAnsi"/>
          <w:color w:val="auto"/>
          <w:lang w:val="en-US" w:eastAsia="zh-CN" w:bidi="hi-IN"/>
          <w14:ligatures w14:val="none"/>
        </w:rPr>
        <w:t xml:space="preserve">social and </w:t>
      </w:r>
      <w:r w:rsidR="00414437" w:rsidRPr="009E06C2">
        <w:rPr>
          <w:rFonts w:asciiTheme="minorHAnsi" w:hAnsiTheme="minorHAnsi" w:cstheme="minorHAnsi"/>
          <w:color w:val="auto"/>
          <w:lang w:val="en-US" w:eastAsia="zh-CN" w:bidi="hi-IN"/>
          <w14:ligatures w14:val="none"/>
        </w:rPr>
        <w:t xml:space="preserve">cultural norms. </w:t>
      </w:r>
    </w:p>
    <w:p w14:paraId="6D904B01" w14:textId="77777777" w:rsidR="00CD04B1" w:rsidRPr="009E06C2" w:rsidRDefault="00CD04B1" w:rsidP="008C1A18">
      <w:pPr>
        <w:pStyle w:val="Body"/>
        <w:jc w:val="both"/>
        <w:rPr>
          <w:rFonts w:asciiTheme="minorHAnsi" w:hAnsiTheme="minorHAnsi" w:cstheme="minorHAnsi"/>
          <w:color w:val="auto"/>
          <w:lang w:val="en-US" w:eastAsia="zh-CN" w:bidi="hi-IN"/>
          <w14:ligatures w14:val="none"/>
        </w:rPr>
      </w:pPr>
    </w:p>
    <w:p w14:paraId="731772D8" w14:textId="77777777" w:rsidR="00FC7930" w:rsidRPr="009E06C2" w:rsidRDefault="00FC7930" w:rsidP="008C1A18">
      <w:pPr>
        <w:pStyle w:val="Body"/>
        <w:jc w:val="both"/>
        <w:rPr>
          <w:rFonts w:asciiTheme="minorHAnsi" w:hAnsiTheme="minorHAnsi" w:cstheme="minorHAnsi"/>
          <w:i/>
          <w:iCs/>
          <w:color w:val="auto"/>
          <w:lang w:val="en-US" w:eastAsia="zh-CN" w:bidi="hi-IN"/>
          <w14:ligatures w14:val="none"/>
        </w:rPr>
      </w:pPr>
    </w:p>
    <w:p w14:paraId="2152AF87" w14:textId="77777777" w:rsidR="008C1A18" w:rsidRPr="009E06C2" w:rsidRDefault="008C1A18" w:rsidP="008C1A18">
      <w:pPr>
        <w:widowControl w:val="0"/>
        <w:rPr>
          <w:rFonts w:asciiTheme="minorHAnsi" w:hAnsiTheme="minorHAnsi" w:cstheme="minorHAnsi"/>
          <w:sz w:val="22"/>
          <w:szCs w:val="22"/>
          <w14:ligatures w14:val="none"/>
        </w:rPr>
      </w:pPr>
      <w:r w:rsidRPr="009E06C2">
        <w:rPr>
          <w:rFonts w:asciiTheme="minorHAnsi" w:hAnsiTheme="minorHAnsi" w:cstheme="minorHAnsi"/>
          <w:sz w:val="22"/>
          <w:szCs w:val="22"/>
          <w14:ligatures w14:val="none"/>
        </w:rPr>
        <w:t> </w:t>
      </w:r>
    </w:p>
    <w:p w14:paraId="71AB1035" w14:textId="71160161" w:rsidR="00D2152D" w:rsidRPr="009E06C2" w:rsidRDefault="00D2152D" w:rsidP="00D2152D">
      <w:pPr>
        <w:widowControl w:val="0"/>
        <w:rPr>
          <w:rFonts w:asciiTheme="minorHAnsi" w:hAnsiTheme="minorHAnsi" w:cstheme="minorHAnsi"/>
          <w:sz w:val="22"/>
          <w:szCs w:val="22"/>
          <w14:ligatures w14:val="none"/>
        </w:rPr>
      </w:pPr>
    </w:p>
    <w:p w14:paraId="3B8C1B88" w14:textId="77777777" w:rsidR="00D2152D" w:rsidRPr="009E06C2" w:rsidRDefault="00D2152D" w:rsidP="00D2152D">
      <w:pPr>
        <w:pStyle w:val="BodyCopy"/>
        <w:widowControl w:val="0"/>
        <w:jc w:val="both"/>
        <w:rPr>
          <w:rFonts w:asciiTheme="minorHAnsi" w:hAnsiTheme="minorHAnsi" w:cstheme="minorHAnsi"/>
          <w:sz w:val="22"/>
          <w:szCs w:val="22"/>
          <w14:ligatures w14:val="none"/>
        </w:rPr>
      </w:pPr>
    </w:p>
    <w:p w14:paraId="63B89F9C" w14:textId="77777777" w:rsidR="00D2152D" w:rsidRPr="009E06C2" w:rsidRDefault="00D2152D" w:rsidP="00D2152D">
      <w:pPr>
        <w:pStyle w:val="BodyCopy"/>
        <w:widowControl w:val="0"/>
        <w:jc w:val="both"/>
        <w:rPr>
          <w:rFonts w:asciiTheme="minorHAnsi" w:hAnsiTheme="minorHAnsi" w:cstheme="minorHAnsi"/>
          <w:sz w:val="22"/>
          <w:szCs w:val="22"/>
          <w:lang w:val="en-US"/>
          <w14:ligatures w14:val="none"/>
        </w:rPr>
      </w:pPr>
      <w:r w:rsidRPr="009E06C2">
        <w:rPr>
          <w:rFonts w:asciiTheme="minorHAnsi" w:hAnsiTheme="minorHAnsi" w:cstheme="minorHAnsi"/>
          <w:sz w:val="22"/>
          <w:szCs w:val="22"/>
          <w14:ligatures w14:val="none"/>
        </w:rPr>
        <w:t xml:space="preserve"> </w:t>
      </w:r>
    </w:p>
    <w:p w14:paraId="3CD01869" w14:textId="77777777" w:rsidR="00D2152D" w:rsidRPr="009E06C2" w:rsidRDefault="00D2152D" w:rsidP="00D2152D">
      <w:pPr>
        <w:widowControl w:val="0"/>
        <w:rPr>
          <w:rFonts w:asciiTheme="minorHAnsi" w:hAnsiTheme="minorHAnsi" w:cstheme="minorHAnsi"/>
          <w:sz w:val="22"/>
          <w:szCs w:val="22"/>
          <w14:ligatures w14:val="none"/>
        </w:rPr>
      </w:pPr>
      <w:r w:rsidRPr="009E06C2">
        <w:rPr>
          <w:rFonts w:asciiTheme="minorHAnsi" w:hAnsiTheme="minorHAnsi" w:cstheme="minorHAnsi"/>
          <w:sz w:val="22"/>
          <w:szCs w:val="22"/>
          <w14:ligatures w14:val="none"/>
        </w:rPr>
        <w:t> </w:t>
      </w:r>
    </w:p>
    <w:p w14:paraId="1DE22DB8" w14:textId="77777777" w:rsidR="00280966" w:rsidRPr="009E06C2" w:rsidRDefault="00280966">
      <w:pPr>
        <w:rPr>
          <w:rFonts w:asciiTheme="minorHAnsi" w:hAnsiTheme="minorHAnsi" w:cstheme="minorHAnsi"/>
          <w:sz w:val="22"/>
          <w:szCs w:val="22"/>
        </w:rPr>
      </w:pPr>
    </w:p>
    <w:sectPr w:rsidR="00280966" w:rsidRPr="009E06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2B77A" w14:textId="77777777" w:rsidR="006D5C91" w:rsidRDefault="006D5C91" w:rsidP="003C26F5">
      <w:pPr>
        <w:spacing w:line="240" w:lineRule="auto"/>
      </w:pPr>
      <w:r>
        <w:separator/>
      </w:r>
    </w:p>
  </w:endnote>
  <w:endnote w:type="continuationSeparator" w:id="0">
    <w:p w14:paraId="3E0F4405" w14:textId="77777777" w:rsidR="006D5C91" w:rsidRDefault="006D5C91" w:rsidP="003C26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9935" w14:textId="77777777" w:rsidR="006D5C91" w:rsidRDefault="006D5C91" w:rsidP="003C26F5">
      <w:pPr>
        <w:spacing w:line="240" w:lineRule="auto"/>
      </w:pPr>
      <w:r>
        <w:separator/>
      </w:r>
    </w:p>
  </w:footnote>
  <w:footnote w:type="continuationSeparator" w:id="0">
    <w:p w14:paraId="42D774C1" w14:textId="77777777" w:rsidR="006D5C91" w:rsidRDefault="006D5C91" w:rsidP="003C26F5">
      <w:pPr>
        <w:spacing w:line="240" w:lineRule="auto"/>
      </w:pPr>
      <w:r>
        <w:continuationSeparator/>
      </w:r>
    </w:p>
  </w:footnote>
  <w:footnote w:id="1">
    <w:p w14:paraId="742FDE12" w14:textId="0249A5A6" w:rsidR="00334D98" w:rsidRPr="00E12CA5" w:rsidRDefault="00334D98">
      <w:pPr>
        <w:pStyle w:val="FootnoteText"/>
        <w:rPr>
          <w:sz w:val="18"/>
          <w:szCs w:val="18"/>
        </w:rPr>
      </w:pPr>
      <w:r>
        <w:rPr>
          <w:rStyle w:val="FootnoteReference"/>
        </w:rPr>
        <w:footnoteRef/>
      </w:r>
      <w:r>
        <w:t xml:space="preserve"> </w:t>
      </w:r>
      <w:proofErr w:type="spellStart"/>
      <w:r w:rsidRPr="00E12CA5">
        <w:rPr>
          <w:sz w:val="18"/>
          <w:szCs w:val="18"/>
        </w:rPr>
        <w:t>Amoris</w:t>
      </w:r>
      <w:proofErr w:type="spellEnd"/>
      <w:r w:rsidRPr="00E12CA5">
        <w:rPr>
          <w:sz w:val="18"/>
          <w:szCs w:val="18"/>
        </w:rPr>
        <w:t xml:space="preserve"> Laetitia (n 56).</w:t>
      </w:r>
    </w:p>
  </w:footnote>
  <w:footnote w:id="2">
    <w:p w14:paraId="66A6F828" w14:textId="273D07B9" w:rsidR="002706A9" w:rsidRPr="00E12CA5" w:rsidRDefault="002706A9" w:rsidP="002706A9">
      <w:pPr>
        <w:widowControl w:val="0"/>
        <w:rPr>
          <w:rFonts w:asciiTheme="minorHAnsi" w:hAnsiTheme="minorHAnsi" w:cstheme="minorHAnsi"/>
          <w:sz w:val="18"/>
          <w:szCs w:val="18"/>
        </w:rPr>
      </w:pPr>
      <w:r w:rsidRPr="00E12CA5">
        <w:rPr>
          <w:rStyle w:val="FootnoteReference"/>
          <w:rFonts w:asciiTheme="minorHAnsi" w:hAnsiTheme="minorHAnsi" w:cstheme="minorHAnsi"/>
          <w:sz w:val="18"/>
          <w:szCs w:val="18"/>
        </w:rPr>
        <w:footnoteRef/>
      </w:r>
      <w:r w:rsidRPr="00E12CA5">
        <w:rPr>
          <w:rFonts w:asciiTheme="minorHAnsi" w:hAnsiTheme="minorHAnsi" w:cstheme="minorHAnsi"/>
          <w:sz w:val="18"/>
          <w:szCs w:val="18"/>
        </w:rPr>
        <w:t xml:space="preserve"> </w:t>
      </w:r>
      <w:r w:rsidR="0001061F" w:rsidRPr="00E12CA5">
        <w:rPr>
          <w:rFonts w:asciiTheme="minorHAnsi" w:hAnsiTheme="minorHAnsi" w:cstheme="minorHAnsi"/>
          <w:color w:val="444444"/>
          <w:sz w:val="18"/>
          <w:szCs w:val="18"/>
          <w:shd w:val="clear" w:color="auto" w:fill="FFFFFF"/>
        </w:rPr>
        <w:t> </w:t>
      </w:r>
      <w:hyperlink r:id="rId1" w:history="1">
        <w:r w:rsidR="0001061F" w:rsidRPr="00E12CA5">
          <w:rPr>
            <w:rStyle w:val="Hyperlink"/>
            <w:rFonts w:asciiTheme="minorHAnsi" w:hAnsiTheme="minorHAnsi" w:cstheme="minorHAnsi"/>
            <w:color w:val="21759B"/>
            <w:sz w:val="18"/>
            <w:szCs w:val="18"/>
            <w:bdr w:val="none" w:sz="0" w:space="0" w:color="auto" w:frame="1"/>
            <w:shd w:val="clear" w:color="auto" w:fill="FFFFFF"/>
          </w:rPr>
          <w:t>https://bit.ly/CreatedandLoved</w:t>
        </w:r>
      </w:hyperlink>
    </w:p>
  </w:footnote>
  <w:footnote w:id="3">
    <w:p w14:paraId="67AB2F1F" w14:textId="575821DD" w:rsidR="00334D98" w:rsidRPr="00E12CA5" w:rsidRDefault="00334D98" w:rsidP="00334D98">
      <w:pPr>
        <w:pStyle w:val="EndnoteText"/>
        <w:rPr>
          <w:rFonts w:asciiTheme="minorHAnsi" w:hAnsiTheme="minorHAnsi" w:cstheme="minorHAnsi"/>
          <w:color w:val="212121"/>
          <w:spacing w:val="-5"/>
          <w:sz w:val="18"/>
          <w:szCs w:val="18"/>
        </w:rPr>
      </w:pPr>
      <w:r w:rsidRPr="00E12CA5">
        <w:rPr>
          <w:rStyle w:val="FootnoteReference"/>
          <w:rFonts w:asciiTheme="minorHAnsi" w:hAnsiTheme="minorHAnsi" w:cstheme="minorHAnsi"/>
          <w:sz w:val="18"/>
          <w:szCs w:val="18"/>
        </w:rPr>
        <w:footnoteRef/>
      </w:r>
      <w:r w:rsidRPr="00E12CA5">
        <w:rPr>
          <w:rFonts w:asciiTheme="minorHAnsi" w:hAnsiTheme="minorHAnsi" w:cstheme="minorHAnsi"/>
          <w:sz w:val="18"/>
          <w:szCs w:val="18"/>
        </w:rPr>
        <w:t xml:space="preserve"> ‘</w:t>
      </w:r>
      <w:r w:rsidRPr="00E12CA5">
        <w:rPr>
          <w:rFonts w:asciiTheme="minorHAnsi" w:hAnsiTheme="minorHAnsi" w:cstheme="minorHAnsi"/>
          <w:color w:val="212121"/>
          <w:spacing w:val="-5"/>
          <w:sz w:val="18"/>
          <w:szCs w:val="18"/>
        </w:rPr>
        <w:t>If a child passes the Gillick test, he or she is considered ‘Gillick competent’ to consent to that medical treatment or intervention. However, as with adults, this consent is only valid if given voluntarily and not under undue influence or pressure by anyone else. Additionally, a child may have the capacity to consent to some treatments but not others. The understanding required for different interventions will vary, and capacity can also fluctuate such as in certain mental health conditions. Therefore</w:t>
      </w:r>
      <w:r w:rsidR="0001061F" w:rsidRPr="00E12CA5">
        <w:rPr>
          <w:rFonts w:asciiTheme="minorHAnsi" w:hAnsiTheme="minorHAnsi" w:cstheme="minorHAnsi"/>
          <w:color w:val="212121"/>
          <w:spacing w:val="-5"/>
          <w:sz w:val="18"/>
          <w:szCs w:val="18"/>
        </w:rPr>
        <w:t>,</w:t>
      </w:r>
      <w:r w:rsidRPr="00E12CA5">
        <w:rPr>
          <w:rFonts w:asciiTheme="minorHAnsi" w:hAnsiTheme="minorHAnsi" w:cstheme="minorHAnsi"/>
          <w:color w:val="212121"/>
          <w:spacing w:val="-5"/>
          <w:sz w:val="18"/>
          <w:szCs w:val="18"/>
        </w:rPr>
        <w:t xml:space="preserve"> each individual decision requires assessment of Gillick competence.</w:t>
      </w:r>
      <w:r w:rsidR="0022585C" w:rsidRPr="00E12CA5">
        <w:rPr>
          <w:rFonts w:asciiTheme="minorHAnsi" w:hAnsiTheme="minorHAnsi" w:cstheme="minorHAnsi"/>
          <w:color w:val="212121"/>
          <w:spacing w:val="-5"/>
          <w:sz w:val="18"/>
          <w:szCs w:val="18"/>
        </w:rPr>
        <w:t>’</w:t>
      </w:r>
    </w:p>
    <w:p w14:paraId="2D3BA6C8" w14:textId="4B6A76FF" w:rsidR="00334D98" w:rsidRPr="00E12CA5" w:rsidRDefault="00334D98" w:rsidP="00334D98">
      <w:pPr>
        <w:pStyle w:val="EndnoteText"/>
        <w:rPr>
          <w:rFonts w:asciiTheme="minorHAnsi" w:hAnsiTheme="minorHAnsi" w:cstheme="minorHAnsi"/>
          <w:sz w:val="18"/>
          <w:szCs w:val="18"/>
        </w:rPr>
      </w:pPr>
      <w:r w:rsidRPr="00E12CA5">
        <w:rPr>
          <w:rFonts w:asciiTheme="minorHAnsi" w:hAnsiTheme="minorHAnsi" w:cstheme="minorHAnsi"/>
          <w:color w:val="212121"/>
          <w:spacing w:val="-5"/>
          <w:sz w:val="18"/>
          <w:szCs w:val="18"/>
        </w:rPr>
        <w:t>https://www.cqc.org.uk/guidance-providers/gps/gp-mythbuster-8-gillick-competency-fraser-guidelines</w:t>
      </w:r>
    </w:p>
    <w:p w14:paraId="54D22E16" w14:textId="647A1D6C" w:rsidR="00334D98" w:rsidRPr="00E12CA5" w:rsidRDefault="00334D98">
      <w:pPr>
        <w:pStyle w:val="FootnoteText"/>
        <w:rPr>
          <w:rFonts w:asciiTheme="minorHAnsi" w:hAnsiTheme="minorHAnsi" w:cstheme="minorHAnsi"/>
          <w:sz w:val="18"/>
          <w:szCs w:val="18"/>
        </w:rPr>
      </w:pPr>
    </w:p>
  </w:footnote>
  <w:footnote w:id="4">
    <w:p w14:paraId="720E11EB" w14:textId="7A1E654A" w:rsidR="003F67AE" w:rsidRPr="009F2E4A" w:rsidRDefault="003F67AE">
      <w:pPr>
        <w:pStyle w:val="FootnoteText"/>
        <w:rPr>
          <w:sz w:val="18"/>
          <w:szCs w:val="18"/>
        </w:rPr>
      </w:pPr>
      <w:r w:rsidRPr="009F2E4A">
        <w:rPr>
          <w:rStyle w:val="FootnoteReference"/>
          <w:sz w:val="18"/>
          <w:szCs w:val="18"/>
        </w:rPr>
        <w:footnoteRef/>
      </w:r>
      <w:r w:rsidRPr="009F2E4A">
        <w:rPr>
          <w:sz w:val="18"/>
          <w:szCs w:val="18"/>
        </w:rPr>
        <w:t xml:space="preserve"> </w:t>
      </w:r>
      <w:r w:rsidR="00B5684D" w:rsidRPr="009F2E4A">
        <w:rPr>
          <w:sz w:val="18"/>
          <w:szCs w:val="18"/>
        </w:rPr>
        <w:t xml:space="preserve">‘Intersex’ </w:t>
      </w:r>
      <w:r w:rsidRPr="009F2E4A">
        <w:rPr>
          <w:sz w:val="18"/>
          <w:szCs w:val="18"/>
        </w:rPr>
        <w:t xml:space="preserve">refers to a </w:t>
      </w:r>
      <w:r w:rsidR="00190911" w:rsidRPr="009F2E4A">
        <w:rPr>
          <w:sz w:val="18"/>
          <w:szCs w:val="18"/>
        </w:rPr>
        <w:t xml:space="preserve">very rare </w:t>
      </w:r>
      <w:r w:rsidRPr="009F2E4A">
        <w:rPr>
          <w:sz w:val="18"/>
          <w:szCs w:val="18"/>
        </w:rPr>
        <w:t xml:space="preserve">medical condition that may </w:t>
      </w:r>
      <w:r w:rsidR="00190911" w:rsidRPr="009F2E4A">
        <w:rPr>
          <w:sz w:val="18"/>
          <w:szCs w:val="18"/>
        </w:rPr>
        <w:t xml:space="preserve">or may </w:t>
      </w:r>
      <w:r w:rsidRPr="009F2E4A">
        <w:rPr>
          <w:sz w:val="18"/>
          <w:szCs w:val="18"/>
        </w:rPr>
        <w:t xml:space="preserve">not be apparent at birth. </w:t>
      </w:r>
      <w:r w:rsidR="009A1071" w:rsidRPr="009F2E4A">
        <w:rPr>
          <w:sz w:val="18"/>
          <w:szCs w:val="18"/>
        </w:rPr>
        <w:t xml:space="preserve">The term properly applies to those conditions in which chromosomal sex is inconsistent with </w:t>
      </w:r>
      <w:r w:rsidR="00691FCE" w:rsidRPr="009F2E4A">
        <w:rPr>
          <w:sz w:val="18"/>
          <w:szCs w:val="18"/>
        </w:rPr>
        <w:t xml:space="preserve">the observable characteristics of an individual, </w:t>
      </w:r>
      <w:proofErr w:type="spellStart"/>
      <w:proofErr w:type="gramStart"/>
      <w:r w:rsidR="00691FCE" w:rsidRPr="009F2E4A">
        <w:rPr>
          <w:sz w:val="18"/>
          <w:szCs w:val="18"/>
        </w:rPr>
        <w:t>ie</w:t>
      </w:r>
      <w:proofErr w:type="spellEnd"/>
      <w:proofErr w:type="gramEnd"/>
      <w:r w:rsidR="00691FCE" w:rsidRPr="009F2E4A">
        <w:rPr>
          <w:sz w:val="18"/>
          <w:szCs w:val="18"/>
        </w:rPr>
        <w:t xml:space="preserve"> </w:t>
      </w:r>
      <w:r w:rsidR="009A1071" w:rsidRPr="009F2E4A">
        <w:rPr>
          <w:sz w:val="18"/>
          <w:szCs w:val="18"/>
        </w:rPr>
        <w:t xml:space="preserve">phenotypic sex, or in which the </w:t>
      </w:r>
      <w:r w:rsidR="00691FCE" w:rsidRPr="009F2E4A">
        <w:rPr>
          <w:sz w:val="18"/>
          <w:szCs w:val="18"/>
        </w:rPr>
        <w:t xml:space="preserve">observable characteristics are </w:t>
      </w:r>
      <w:r w:rsidR="009A1071" w:rsidRPr="009F2E4A">
        <w:rPr>
          <w:sz w:val="18"/>
          <w:szCs w:val="18"/>
        </w:rPr>
        <w:t>not classifiable as either male or female. Applying this definition, the true prevalence of Intersex is about 0.018%</w:t>
      </w:r>
      <w:r w:rsidR="00691FCE" w:rsidRPr="009F2E4A">
        <w:rPr>
          <w:sz w:val="18"/>
          <w:szCs w:val="18"/>
        </w:rPr>
        <w:t>. https://pubmed.ncbi.nlm.nih.gov/12476264/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2D"/>
    <w:rsid w:val="00000A14"/>
    <w:rsid w:val="000032A1"/>
    <w:rsid w:val="0001061F"/>
    <w:rsid w:val="000761F5"/>
    <w:rsid w:val="00134B6C"/>
    <w:rsid w:val="00135A1C"/>
    <w:rsid w:val="00147433"/>
    <w:rsid w:val="001658CE"/>
    <w:rsid w:val="00187F92"/>
    <w:rsid w:val="00190911"/>
    <w:rsid w:val="0019733E"/>
    <w:rsid w:val="001B6AEF"/>
    <w:rsid w:val="001D1B90"/>
    <w:rsid w:val="00214D79"/>
    <w:rsid w:val="0022585C"/>
    <w:rsid w:val="00233800"/>
    <w:rsid w:val="0024341D"/>
    <w:rsid w:val="002706A9"/>
    <w:rsid w:val="00280966"/>
    <w:rsid w:val="00290A0D"/>
    <w:rsid w:val="00301824"/>
    <w:rsid w:val="00321C5F"/>
    <w:rsid w:val="00334D98"/>
    <w:rsid w:val="003444E8"/>
    <w:rsid w:val="00352E5E"/>
    <w:rsid w:val="00376EE3"/>
    <w:rsid w:val="003A0485"/>
    <w:rsid w:val="003B7460"/>
    <w:rsid w:val="003C26F5"/>
    <w:rsid w:val="003C2D52"/>
    <w:rsid w:val="003C4861"/>
    <w:rsid w:val="003F67AE"/>
    <w:rsid w:val="00404F09"/>
    <w:rsid w:val="00413636"/>
    <w:rsid w:val="00414437"/>
    <w:rsid w:val="004960DC"/>
    <w:rsid w:val="004B7367"/>
    <w:rsid w:val="004C314A"/>
    <w:rsid w:val="004C60EB"/>
    <w:rsid w:val="004C7EE4"/>
    <w:rsid w:val="005102AB"/>
    <w:rsid w:val="00525273"/>
    <w:rsid w:val="00566301"/>
    <w:rsid w:val="00571819"/>
    <w:rsid w:val="005D3642"/>
    <w:rsid w:val="005F1BA0"/>
    <w:rsid w:val="00602594"/>
    <w:rsid w:val="00613088"/>
    <w:rsid w:val="00645BDA"/>
    <w:rsid w:val="00661534"/>
    <w:rsid w:val="0066419C"/>
    <w:rsid w:val="00691FCE"/>
    <w:rsid w:val="006A1D25"/>
    <w:rsid w:val="006B0AE4"/>
    <w:rsid w:val="006C3B1B"/>
    <w:rsid w:val="006D5C91"/>
    <w:rsid w:val="006F2B4B"/>
    <w:rsid w:val="00701902"/>
    <w:rsid w:val="0072076B"/>
    <w:rsid w:val="007509CC"/>
    <w:rsid w:val="007645BB"/>
    <w:rsid w:val="00765CC4"/>
    <w:rsid w:val="007A6617"/>
    <w:rsid w:val="007D2665"/>
    <w:rsid w:val="007F0AB9"/>
    <w:rsid w:val="00800C63"/>
    <w:rsid w:val="00805CA7"/>
    <w:rsid w:val="00817E85"/>
    <w:rsid w:val="00830EFB"/>
    <w:rsid w:val="00843656"/>
    <w:rsid w:val="00847E14"/>
    <w:rsid w:val="00850A71"/>
    <w:rsid w:val="008C1A18"/>
    <w:rsid w:val="008D73B4"/>
    <w:rsid w:val="008D7F8B"/>
    <w:rsid w:val="00913B42"/>
    <w:rsid w:val="00945AB7"/>
    <w:rsid w:val="00963C72"/>
    <w:rsid w:val="0097782D"/>
    <w:rsid w:val="009A1071"/>
    <w:rsid w:val="009B32A7"/>
    <w:rsid w:val="009C798A"/>
    <w:rsid w:val="009E05AA"/>
    <w:rsid w:val="009E06C2"/>
    <w:rsid w:val="009E0F69"/>
    <w:rsid w:val="009E2B56"/>
    <w:rsid w:val="009F2E4A"/>
    <w:rsid w:val="009F70DD"/>
    <w:rsid w:val="00A00F5C"/>
    <w:rsid w:val="00A05714"/>
    <w:rsid w:val="00A108D4"/>
    <w:rsid w:val="00A14A61"/>
    <w:rsid w:val="00A17B5D"/>
    <w:rsid w:val="00A40143"/>
    <w:rsid w:val="00A42E6D"/>
    <w:rsid w:val="00A829FD"/>
    <w:rsid w:val="00AA22CB"/>
    <w:rsid w:val="00AC31AC"/>
    <w:rsid w:val="00B3620B"/>
    <w:rsid w:val="00B37303"/>
    <w:rsid w:val="00B42433"/>
    <w:rsid w:val="00B47412"/>
    <w:rsid w:val="00B5684D"/>
    <w:rsid w:val="00B95215"/>
    <w:rsid w:val="00BB5BCA"/>
    <w:rsid w:val="00C3114B"/>
    <w:rsid w:val="00C46708"/>
    <w:rsid w:val="00C868C5"/>
    <w:rsid w:val="00CD04B1"/>
    <w:rsid w:val="00CE75B6"/>
    <w:rsid w:val="00D0300F"/>
    <w:rsid w:val="00D1320C"/>
    <w:rsid w:val="00D2152D"/>
    <w:rsid w:val="00D261EF"/>
    <w:rsid w:val="00D30F84"/>
    <w:rsid w:val="00D33B41"/>
    <w:rsid w:val="00DC1AD7"/>
    <w:rsid w:val="00DC316F"/>
    <w:rsid w:val="00DF5E9A"/>
    <w:rsid w:val="00E04709"/>
    <w:rsid w:val="00E12CA5"/>
    <w:rsid w:val="00E17615"/>
    <w:rsid w:val="00E57449"/>
    <w:rsid w:val="00E86470"/>
    <w:rsid w:val="00E943FB"/>
    <w:rsid w:val="00E97E74"/>
    <w:rsid w:val="00EB0D81"/>
    <w:rsid w:val="00EE360C"/>
    <w:rsid w:val="00EF1049"/>
    <w:rsid w:val="00F20E11"/>
    <w:rsid w:val="00F41565"/>
    <w:rsid w:val="00F73750"/>
    <w:rsid w:val="00FB7A52"/>
    <w:rsid w:val="00FC7930"/>
    <w:rsid w:val="00FD3546"/>
    <w:rsid w:val="00FD3C8A"/>
    <w:rsid w:val="00FE505C"/>
    <w:rsid w:val="00FE6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2B3F"/>
  <w15:chartTrackingRefBased/>
  <w15:docId w15:val="{3C4969EA-C897-492D-8289-56B90DA0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52D"/>
    <w:pPr>
      <w:spacing w:after="0" w:line="264"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D2152D"/>
    <w:pPr>
      <w:spacing w:after="120"/>
    </w:pPr>
    <w:rPr>
      <w:sz w:val="16"/>
      <w:szCs w:val="16"/>
    </w:rPr>
  </w:style>
  <w:style w:type="paragraph" w:customStyle="1" w:styleId="InsideStoryHeadline">
    <w:name w:val="Inside Story Headline"/>
    <w:basedOn w:val="Normal"/>
    <w:rsid w:val="00D2152D"/>
    <w:pPr>
      <w:spacing w:line="240" w:lineRule="auto"/>
    </w:pPr>
    <w:rPr>
      <w:rFonts w:ascii="Cambria" w:hAnsi="Cambria" w:cs="Times New Roman"/>
      <w:sz w:val="32"/>
      <w:szCs w:val="32"/>
    </w:rPr>
  </w:style>
  <w:style w:type="paragraph" w:styleId="Quote">
    <w:name w:val="Quote"/>
    <w:basedOn w:val="Normal"/>
    <w:link w:val="QuoteChar"/>
    <w:uiPriority w:val="29"/>
    <w:qFormat/>
    <w:rsid w:val="00D2152D"/>
    <w:pPr>
      <w:spacing w:line="240" w:lineRule="auto"/>
    </w:pPr>
    <w:rPr>
      <w:i/>
      <w:iCs/>
      <w:sz w:val="28"/>
      <w:szCs w:val="28"/>
    </w:rPr>
  </w:style>
  <w:style w:type="character" w:customStyle="1" w:styleId="QuoteChar">
    <w:name w:val="Quote Char"/>
    <w:basedOn w:val="DefaultParagraphFont"/>
    <w:link w:val="Quote"/>
    <w:uiPriority w:val="29"/>
    <w:rsid w:val="00D2152D"/>
    <w:rPr>
      <w:rFonts w:ascii="Calibri" w:eastAsia="Times New Roman" w:hAnsi="Calibri" w:cs="Calibri"/>
      <w:i/>
      <w:iCs/>
      <w:color w:val="000000"/>
      <w:kern w:val="28"/>
      <w:sz w:val="28"/>
      <w:szCs w:val="28"/>
      <w:lang w:eastAsia="en-AU"/>
      <w14:ligatures w14:val="standard"/>
      <w14:cntxtAlts/>
    </w:rPr>
  </w:style>
  <w:style w:type="paragraph" w:customStyle="1" w:styleId="Body">
    <w:name w:val="Body"/>
    <w:rsid w:val="008C1A18"/>
    <w:pPr>
      <w:spacing w:line="252" w:lineRule="auto"/>
    </w:pPr>
    <w:rPr>
      <w:rFonts w:ascii="Calibri" w:eastAsia="Times New Roman" w:hAnsi="Calibri" w:cs="Calibri"/>
      <w:color w:val="000000"/>
      <w:kern w:val="28"/>
      <w:lang w:eastAsia="en-AU"/>
      <w14:textOutline w14:w="0" w14:cap="flat" w14:cmpd="sng" w14:algn="ctr">
        <w14:noFill/>
        <w14:prstDash w14:val="solid"/>
        <w14:bevel/>
      </w14:textOutline>
      <w14:ligatures w14:val="standard"/>
      <w14:cntxtAlts/>
    </w:rPr>
  </w:style>
  <w:style w:type="character" w:styleId="Hyperlink">
    <w:name w:val="Hyperlink"/>
    <w:basedOn w:val="DefaultParagraphFont"/>
    <w:uiPriority w:val="99"/>
    <w:semiHidden/>
    <w:unhideWhenUsed/>
    <w:rsid w:val="00134B6C"/>
    <w:rPr>
      <w:color w:val="0000FF"/>
      <w:u w:val="single"/>
    </w:rPr>
  </w:style>
  <w:style w:type="paragraph" w:styleId="EndnoteText">
    <w:name w:val="endnote text"/>
    <w:basedOn w:val="Normal"/>
    <w:link w:val="EndnoteTextChar"/>
    <w:uiPriority w:val="99"/>
    <w:unhideWhenUsed/>
    <w:rsid w:val="003C26F5"/>
    <w:pPr>
      <w:spacing w:line="240" w:lineRule="auto"/>
    </w:pPr>
  </w:style>
  <w:style w:type="character" w:customStyle="1" w:styleId="EndnoteTextChar">
    <w:name w:val="Endnote Text Char"/>
    <w:basedOn w:val="DefaultParagraphFont"/>
    <w:link w:val="EndnoteText"/>
    <w:uiPriority w:val="99"/>
    <w:rsid w:val="003C26F5"/>
    <w:rPr>
      <w:rFonts w:ascii="Calibri" w:eastAsia="Times New Roman" w:hAnsi="Calibri" w:cs="Calibri"/>
      <w:color w:val="000000"/>
      <w:kern w:val="28"/>
      <w:sz w:val="20"/>
      <w:szCs w:val="20"/>
      <w:lang w:eastAsia="en-AU"/>
      <w14:ligatures w14:val="standard"/>
      <w14:cntxtAlts/>
    </w:rPr>
  </w:style>
  <w:style w:type="character" w:styleId="EndnoteReference">
    <w:name w:val="endnote reference"/>
    <w:basedOn w:val="DefaultParagraphFont"/>
    <w:uiPriority w:val="99"/>
    <w:semiHidden/>
    <w:unhideWhenUsed/>
    <w:rsid w:val="003C26F5"/>
    <w:rPr>
      <w:vertAlign w:val="superscript"/>
    </w:rPr>
  </w:style>
  <w:style w:type="paragraph" w:styleId="FootnoteText">
    <w:name w:val="footnote text"/>
    <w:basedOn w:val="Normal"/>
    <w:link w:val="FootnoteTextChar"/>
    <w:uiPriority w:val="99"/>
    <w:semiHidden/>
    <w:unhideWhenUsed/>
    <w:rsid w:val="00334D98"/>
    <w:pPr>
      <w:spacing w:line="240" w:lineRule="auto"/>
    </w:pPr>
  </w:style>
  <w:style w:type="character" w:customStyle="1" w:styleId="FootnoteTextChar">
    <w:name w:val="Footnote Text Char"/>
    <w:basedOn w:val="DefaultParagraphFont"/>
    <w:link w:val="FootnoteText"/>
    <w:uiPriority w:val="99"/>
    <w:semiHidden/>
    <w:rsid w:val="00334D98"/>
    <w:rPr>
      <w:rFonts w:ascii="Calibri" w:eastAsia="Times New Roman" w:hAnsi="Calibri" w:cs="Calibri"/>
      <w:color w:val="000000"/>
      <w:kern w:val="28"/>
      <w:sz w:val="20"/>
      <w:szCs w:val="20"/>
      <w:lang w:eastAsia="en-AU"/>
      <w14:ligatures w14:val="standard"/>
      <w14:cntxtAlts/>
    </w:rPr>
  </w:style>
  <w:style w:type="character" w:styleId="FootnoteReference">
    <w:name w:val="footnote reference"/>
    <w:basedOn w:val="DefaultParagraphFont"/>
    <w:uiPriority w:val="99"/>
    <w:semiHidden/>
    <w:unhideWhenUsed/>
    <w:rsid w:val="00334D98"/>
    <w:rPr>
      <w:vertAlign w:val="superscript"/>
    </w:rPr>
  </w:style>
  <w:style w:type="paragraph" w:styleId="NoSpacing">
    <w:name w:val="No Spacing"/>
    <w:uiPriority w:val="1"/>
    <w:qFormat/>
    <w:rsid w:val="007A6617"/>
    <w:pPr>
      <w:spacing w:after="0" w:line="240" w:lineRule="auto"/>
    </w:pPr>
    <w:rPr>
      <w:rFonts w:ascii="Calibri" w:eastAsia="Times New Roman" w:hAnsi="Calibri" w:cs="Calibri"/>
      <w:color w:val="00000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5960">
      <w:bodyDiv w:val="1"/>
      <w:marLeft w:val="0"/>
      <w:marRight w:val="0"/>
      <w:marTop w:val="0"/>
      <w:marBottom w:val="0"/>
      <w:divBdr>
        <w:top w:val="none" w:sz="0" w:space="0" w:color="auto"/>
        <w:left w:val="none" w:sz="0" w:space="0" w:color="auto"/>
        <w:bottom w:val="none" w:sz="0" w:space="0" w:color="auto"/>
        <w:right w:val="none" w:sz="0" w:space="0" w:color="auto"/>
      </w:divBdr>
    </w:div>
    <w:div w:id="527571316">
      <w:bodyDiv w:val="1"/>
      <w:marLeft w:val="0"/>
      <w:marRight w:val="0"/>
      <w:marTop w:val="0"/>
      <w:marBottom w:val="0"/>
      <w:divBdr>
        <w:top w:val="none" w:sz="0" w:space="0" w:color="auto"/>
        <w:left w:val="none" w:sz="0" w:space="0" w:color="auto"/>
        <w:bottom w:val="none" w:sz="0" w:space="0" w:color="auto"/>
        <w:right w:val="none" w:sz="0" w:space="0" w:color="auto"/>
      </w:divBdr>
    </w:div>
    <w:div w:id="604730599">
      <w:bodyDiv w:val="1"/>
      <w:marLeft w:val="0"/>
      <w:marRight w:val="0"/>
      <w:marTop w:val="0"/>
      <w:marBottom w:val="0"/>
      <w:divBdr>
        <w:top w:val="none" w:sz="0" w:space="0" w:color="auto"/>
        <w:left w:val="none" w:sz="0" w:space="0" w:color="auto"/>
        <w:bottom w:val="none" w:sz="0" w:space="0" w:color="auto"/>
        <w:right w:val="none" w:sz="0" w:space="0" w:color="auto"/>
      </w:divBdr>
    </w:div>
    <w:div w:id="704991179">
      <w:bodyDiv w:val="1"/>
      <w:marLeft w:val="0"/>
      <w:marRight w:val="0"/>
      <w:marTop w:val="0"/>
      <w:marBottom w:val="0"/>
      <w:divBdr>
        <w:top w:val="none" w:sz="0" w:space="0" w:color="auto"/>
        <w:left w:val="none" w:sz="0" w:space="0" w:color="auto"/>
        <w:bottom w:val="none" w:sz="0" w:space="0" w:color="auto"/>
        <w:right w:val="none" w:sz="0" w:space="0" w:color="auto"/>
      </w:divBdr>
    </w:div>
    <w:div w:id="711804590">
      <w:bodyDiv w:val="1"/>
      <w:marLeft w:val="0"/>
      <w:marRight w:val="0"/>
      <w:marTop w:val="0"/>
      <w:marBottom w:val="0"/>
      <w:divBdr>
        <w:top w:val="none" w:sz="0" w:space="0" w:color="auto"/>
        <w:left w:val="none" w:sz="0" w:space="0" w:color="auto"/>
        <w:bottom w:val="none" w:sz="0" w:space="0" w:color="auto"/>
        <w:right w:val="none" w:sz="0" w:space="0" w:color="auto"/>
      </w:divBdr>
    </w:div>
    <w:div w:id="896823289">
      <w:bodyDiv w:val="1"/>
      <w:marLeft w:val="0"/>
      <w:marRight w:val="0"/>
      <w:marTop w:val="0"/>
      <w:marBottom w:val="0"/>
      <w:divBdr>
        <w:top w:val="none" w:sz="0" w:space="0" w:color="auto"/>
        <w:left w:val="none" w:sz="0" w:space="0" w:color="auto"/>
        <w:bottom w:val="none" w:sz="0" w:space="0" w:color="auto"/>
        <w:right w:val="none" w:sz="0" w:space="0" w:color="auto"/>
      </w:divBdr>
    </w:div>
    <w:div w:id="974287555">
      <w:bodyDiv w:val="1"/>
      <w:marLeft w:val="0"/>
      <w:marRight w:val="0"/>
      <w:marTop w:val="0"/>
      <w:marBottom w:val="0"/>
      <w:divBdr>
        <w:top w:val="none" w:sz="0" w:space="0" w:color="auto"/>
        <w:left w:val="none" w:sz="0" w:space="0" w:color="auto"/>
        <w:bottom w:val="none" w:sz="0" w:space="0" w:color="auto"/>
        <w:right w:val="none" w:sz="0" w:space="0" w:color="auto"/>
      </w:divBdr>
    </w:div>
    <w:div w:id="1238397379">
      <w:bodyDiv w:val="1"/>
      <w:marLeft w:val="0"/>
      <w:marRight w:val="0"/>
      <w:marTop w:val="0"/>
      <w:marBottom w:val="0"/>
      <w:divBdr>
        <w:top w:val="none" w:sz="0" w:space="0" w:color="auto"/>
        <w:left w:val="none" w:sz="0" w:space="0" w:color="auto"/>
        <w:bottom w:val="none" w:sz="0" w:space="0" w:color="auto"/>
        <w:right w:val="none" w:sz="0" w:space="0" w:color="auto"/>
      </w:divBdr>
    </w:div>
    <w:div w:id="1267931980">
      <w:bodyDiv w:val="1"/>
      <w:marLeft w:val="0"/>
      <w:marRight w:val="0"/>
      <w:marTop w:val="0"/>
      <w:marBottom w:val="0"/>
      <w:divBdr>
        <w:top w:val="none" w:sz="0" w:space="0" w:color="auto"/>
        <w:left w:val="none" w:sz="0" w:space="0" w:color="auto"/>
        <w:bottom w:val="none" w:sz="0" w:space="0" w:color="auto"/>
        <w:right w:val="none" w:sz="0" w:space="0" w:color="auto"/>
      </w:divBdr>
    </w:div>
    <w:div w:id="1461268042">
      <w:bodyDiv w:val="1"/>
      <w:marLeft w:val="0"/>
      <w:marRight w:val="0"/>
      <w:marTop w:val="0"/>
      <w:marBottom w:val="0"/>
      <w:divBdr>
        <w:top w:val="none" w:sz="0" w:space="0" w:color="auto"/>
        <w:left w:val="none" w:sz="0" w:space="0" w:color="auto"/>
        <w:bottom w:val="none" w:sz="0" w:space="0" w:color="auto"/>
        <w:right w:val="none" w:sz="0" w:space="0" w:color="auto"/>
      </w:divBdr>
    </w:div>
    <w:div w:id="1747919909">
      <w:bodyDiv w:val="1"/>
      <w:marLeft w:val="0"/>
      <w:marRight w:val="0"/>
      <w:marTop w:val="0"/>
      <w:marBottom w:val="0"/>
      <w:divBdr>
        <w:top w:val="none" w:sz="0" w:space="0" w:color="auto"/>
        <w:left w:val="none" w:sz="0" w:space="0" w:color="auto"/>
        <w:bottom w:val="none" w:sz="0" w:space="0" w:color="auto"/>
        <w:right w:val="none" w:sz="0" w:space="0" w:color="auto"/>
      </w:divBdr>
    </w:div>
    <w:div w:id="19181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dministrative_Court_(England_and_Wales)" TargetMode="External"/><Relationship Id="rId3" Type="http://schemas.openxmlformats.org/officeDocument/2006/relationships/settings" Target="settings.xml"/><Relationship Id="rId7" Type="http://schemas.openxmlformats.org/officeDocument/2006/relationships/hyperlink" Target="https://en.wikipedia.org/wiki/High_Court_of_Just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CreatedandLove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it.ly/CreatedandLo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0BA8-B7AD-4376-8FA4-A0D105FC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dc:creator>
  <cp:keywords/>
  <dc:description/>
  <cp:lastModifiedBy>Deirdre</cp:lastModifiedBy>
  <cp:revision>2</cp:revision>
  <cp:lastPrinted>2022-10-28T07:33:00Z</cp:lastPrinted>
  <dcterms:created xsi:type="dcterms:W3CDTF">2022-10-30T02:10:00Z</dcterms:created>
  <dcterms:modified xsi:type="dcterms:W3CDTF">2022-10-30T02:10:00Z</dcterms:modified>
</cp:coreProperties>
</file>